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77DF4" w14:textId="77777777" w:rsidR="00977375" w:rsidRPr="00977375" w:rsidRDefault="00977375" w:rsidP="00977375">
      <w:pPr>
        <w:rPr>
          <w:b/>
          <w:bCs/>
        </w:rPr>
      </w:pPr>
      <w:r w:rsidRPr="00977375">
        <w:rPr>
          <w:b/>
          <w:bCs/>
        </w:rPr>
        <w:t>Unlocking the Future of Rare Disease Medicine: The Power of Whole Genome Sequencing</w:t>
      </w:r>
    </w:p>
    <w:p w14:paraId="1567C805" w14:textId="77777777" w:rsidR="00977375" w:rsidRPr="00977375" w:rsidRDefault="00977375" w:rsidP="00977375">
      <w:r w:rsidRPr="00977375">
        <w:t xml:space="preserve">For too long, rare disease patients have endured what is often called the </w:t>
      </w:r>
      <w:r w:rsidRPr="00977375">
        <w:rPr>
          <w:i/>
          <w:iCs/>
        </w:rPr>
        <w:t>diagnostic odyssey</w:t>
      </w:r>
      <w:r w:rsidRPr="00977375">
        <w:t xml:space="preserve">—a frustrating, expensive, and sometimes life-threatening journey through misdiagnoses, unnecessary medical procedures, and failed treatments. But the field of genomics is now rewriting this story. </w:t>
      </w:r>
      <w:proofErr w:type="gramStart"/>
      <w:r w:rsidRPr="00977375">
        <w:t>Whole</w:t>
      </w:r>
      <w:proofErr w:type="gramEnd"/>
      <w:r w:rsidRPr="00977375">
        <w:t xml:space="preserve"> genome sequencing (WGS) is not just a powerful diagnostic tool; it is the foundational dataset that can transform our understanding of human biology. When combined with layers of phenotypic, -omics, and real-world patient data, WGS becomes the Rosetta Stone for rare diseases, unlocking new therapies and revealing deeper insights into disease mechanisms.</w:t>
      </w:r>
    </w:p>
    <w:p w14:paraId="49711B24" w14:textId="77777777" w:rsidR="00977375" w:rsidRPr="00977375" w:rsidRDefault="00977375" w:rsidP="00977375">
      <w:r w:rsidRPr="00977375">
        <w:t>Advances in AI-driven analytics, coupled with platform approaches to therapy development, mean that WGS is paving the way for earlier diagnosis, cost savings, and—most critically—precision medicine interventions that can fundamentally change lives. In this article, we explore how WGS is reshaping medicine, its economic and clinical advantages, and why it should be the standard of care for diagnosing and treating rare diseases.</w:t>
      </w:r>
    </w:p>
    <w:p w14:paraId="132B1E2E" w14:textId="77777777" w:rsidR="00977375" w:rsidRPr="00977375" w:rsidRDefault="00977375" w:rsidP="00977375">
      <w:r w:rsidRPr="00977375">
        <w:pict w14:anchorId="6EC833D5">
          <v:rect id="_x0000_i1061" style="width:0;height:1.5pt" o:hralign="center" o:hrstd="t" o:hr="t" fillcolor="#a0a0a0" stroked="f"/>
        </w:pict>
      </w:r>
    </w:p>
    <w:p w14:paraId="783185FA" w14:textId="77777777" w:rsidR="00977375" w:rsidRPr="00977375" w:rsidRDefault="00977375" w:rsidP="00977375">
      <w:pPr>
        <w:rPr>
          <w:b/>
          <w:bCs/>
        </w:rPr>
      </w:pPr>
      <w:r w:rsidRPr="00977375">
        <w:rPr>
          <w:b/>
          <w:bCs/>
        </w:rPr>
        <w:t>Ending the Diagnostic Odyssey: The Role of WGS</w:t>
      </w:r>
    </w:p>
    <w:p w14:paraId="1EEDBBA9" w14:textId="77777777" w:rsidR="00977375" w:rsidRPr="00977375" w:rsidRDefault="00977375" w:rsidP="00977375">
      <w:r w:rsidRPr="00977375">
        <w:t xml:space="preserve">For decades, the process of diagnosing a rare disease has been agonizingly slow and costly. Many families spend </w:t>
      </w:r>
      <w:r w:rsidRPr="00977375">
        <w:rPr>
          <w:b/>
          <w:bCs/>
        </w:rPr>
        <w:t>six to seven years</w:t>
      </w:r>
      <w:r w:rsidRPr="00977375">
        <w:t xml:space="preserve"> searching for answers, undergoing multiple hospital visits, invasive procedures, and treatments that ultimately fail. The emotional and financial toll is staggering, with the </w:t>
      </w:r>
      <w:proofErr w:type="spellStart"/>
      <w:r w:rsidRPr="00977375">
        <w:rPr>
          <w:i/>
          <w:iCs/>
        </w:rPr>
        <w:t>EveryLife</w:t>
      </w:r>
      <w:proofErr w:type="spellEnd"/>
      <w:r w:rsidRPr="00977375">
        <w:rPr>
          <w:i/>
          <w:iCs/>
        </w:rPr>
        <w:t xml:space="preserve"> Foundation</w:t>
      </w:r>
      <w:r w:rsidRPr="00977375">
        <w:t xml:space="preserve"> estimating that the avoidable costs due to delayed diagnosis can reach </w:t>
      </w:r>
      <w:r w:rsidRPr="00977375">
        <w:rPr>
          <w:b/>
          <w:bCs/>
        </w:rPr>
        <w:t>$517,000 per patient</w:t>
      </w:r>
      <w:r w:rsidRPr="00977375">
        <w:t>.</w:t>
      </w:r>
    </w:p>
    <w:p w14:paraId="21451558" w14:textId="77777777" w:rsidR="00977375" w:rsidRPr="00977375" w:rsidRDefault="00977375" w:rsidP="00977375">
      <w:proofErr w:type="gramStart"/>
      <w:r w:rsidRPr="00977375">
        <w:t>Whole</w:t>
      </w:r>
      <w:proofErr w:type="gramEnd"/>
      <w:r w:rsidRPr="00977375">
        <w:t xml:space="preserve"> genome sequencing is changing this paradigm. By sequencing an individual’s entire DNA, WGS can provide a definitive diagnosis in a </w:t>
      </w:r>
      <w:r w:rsidRPr="00977375">
        <w:rPr>
          <w:b/>
          <w:bCs/>
        </w:rPr>
        <w:t>single test</w:t>
      </w:r>
      <w:r w:rsidRPr="00977375">
        <w:t>, replacing the trial-and-error approach that has historically dominated rare disease diagnostics. Studies have shown that first-tier WGS significantly increases diagnostic yield and reduces healthcare costs compared to traditional diagnostic methods.</w:t>
      </w:r>
    </w:p>
    <w:p w14:paraId="7250875D" w14:textId="77777777" w:rsidR="00977375" w:rsidRPr="00977375" w:rsidRDefault="00977375" w:rsidP="00977375">
      <w:r w:rsidRPr="00977375">
        <w:t xml:space="preserve">A study by Regier &amp; Weymann (2024) found that </w:t>
      </w:r>
      <w:r w:rsidRPr="00977375">
        <w:rPr>
          <w:b/>
          <w:bCs/>
        </w:rPr>
        <w:t>early access to WGS leads to faster and more accurate diagnoses, reducing hospitalizations, unnecessary tests, and failed treatments</w:t>
      </w:r>
      <w:r w:rsidRPr="00977375">
        <w:t xml:space="preserve">. Similarly, Kingsmore &amp; Ellsworth (2024) demonstrated that rapid WGS for critically ill infants in intensive care units resulted in a net healthcare savings of </w:t>
      </w:r>
      <w:r w:rsidRPr="00977375">
        <w:rPr>
          <w:b/>
          <w:bCs/>
        </w:rPr>
        <w:t>$14,265 per child tested</w:t>
      </w:r>
      <w:r w:rsidRPr="00977375">
        <w:t xml:space="preserve"> while drastically improving survival and treatment outcomes.</w:t>
      </w:r>
    </w:p>
    <w:p w14:paraId="1665F60C" w14:textId="77777777" w:rsidR="00977375" w:rsidRPr="00977375" w:rsidRDefault="00977375" w:rsidP="00977375">
      <w:r w:rsidRPr="00977375">
        <w:t>In short, WGS is effectively eliminating the diagnostic odyssey, making timely and accurate diagnosis not just possible, but cost-effective.</w:t>
      </w:r>
    </w:p>
    <w:p w14:paraId="609CD631" w14:textId="77777777" w:rsidR="00977375" w:rsidRPr="00977375" w:rsidRDefault="00977375" w:rsidP="00977375">
      <w:r w:rsidRPr="00977375">
        <w:pict w14:anchorId="11796133">
          <v:rect id="_x0000_i1062" style="width:0;height:1.5pt" o:hralign="center" o:hrstd="t" o:hr="t" fillcolor="#a0a0a0" stroked="f"/>
        </w:pict>
      </w:r>
    </w:p>
    <w:p w14:paraId="7BD1F99A" w14:textId="77777777" w:rsidR="00977375" w:rsidRPr="00977375" w:rsidRDefault="00977375" w:rsidP="00977375">
      <w:pPr>
        <w:rPr>
          <w:b/>
          <w:bCs/>
        </w:rPr>
      </w:pPr>
      <w:r w:rsidRPr="00977375">
        <w:rPr>
          <w:b/>
          <w:bCs/>
        </w:rPr>
        <w:t>Beyond Diagnosis: WGS as the Foundation of a New Medical Paradigm</w:t>
      </w:r>
    </w:p>
    <w:p w14:paraId="4161870D" w14:textId="77777777" w:rsidR="00977375" w:rsidRPr="00977375" w:rsidRDefault="00977375" w:rsidP="00977375">
      <w:r w:rsidRPr="00977375">
        <w:t xml:space="preserve">While WGS is transforming diagnosis, its true power lies in its ability to serve as the </w:t>
      </w:r>
      <w:r w:rsidRPr="00977375">
        <w:rPr>
          <w:b/>
          <w:bCs/>
        </w:rPr>
        <w:t>cornerstone dataset</w:t>
      </w:r>
      <w:r w:rsidRPr="00977375">
        <w:t xml:space="preserve"> for understanding rare diseases and developing treatments. A single patient’s genome can provide insight into:</w:t>
      </w:r>
    </w:p>
    <w:p w14:paraId="5586CC2C" w14:textId="77777777" w:rsidR="00977375" w:rsidRPr="00977375" w:rsidRDefault="00977375" w:rsidP="00977375">
      <w:pPr>
        <w:numPr>
          <w:ilvl w:val="0"/>
          <w:numId w:val="1"/>
        </w:numPr>
      </w:pPr>
      <w:r w:rsidRPr="00977375">
        <w:rPr>
          <w:b/>
          <w:bCs/>
        </w:rPr>
        <w:lastRenderedPageBreak/>
        <w:t>Phenotypic data</w:t>
      </w:r>
      <w:r w:rsidRPr="00977375">
        <w:t xml:space="preserve"> – Capturing how genetic variations manifest in observable traits (e.g., movement disorders, seizure patterns).</w:t>
      </w:r>
    </w:p>
    <w:p w14:paraId="2F5394A5" w14:textId="77777777" w:rsidR="00977375" w:rsidRPr="00977375" w:rsidRDefault="00977375" w:rsidP="00977375">
      <w:pPr>
        <w:numPr>
          <w:ilvl w:val="0"/>
          <w:numId w:val="1"/>
        </w:numPr>
      </w:pPr>
      <w:r w:rsidRPr="00977375">
        <w:rPr>
          <w:b/>
          <w:bCs/>
        </w:rPr>
        <w:t>Multi-omics layers</w:t>
      </w:r>
      <w:r w:rsidRPr="00977375">
        <w:t xml:space="preserve"> – Integrating transcriptomics, proteomics, metabolomics, epigenomics, and pharmacogenomics to understand disease mechanisms.</w:t>
      </w:r>
    </w:p>
    <w:p w14:paraId="347A3D8E" w14:textId="77777777" w:rsidR="00977375" w:rsidRPr="00977375" w:rsidRDefault="00977375" w:rsidP="00977375">
      <w:pPr>
        <w:numPr>
          <w:ilvl w:val="0"/>
          <w:numId w:val="1"/>
        </w:numPr>
      </w:pPr>
      <w:r w:rsidRPr="00977375">
        <w:rPr>
          <w:b/>
          <w:bCs/>
        </w:rPr>
        <w:t>Natural history and registry data</w:t>
      </w:r>
      <w:r w:rsidRPr="00977375">
        <w:t xml:space="preserve"> – Mapping how a disease progresses over time and in response to different treatments.</w:t>
      </w:r>
    </w:p>
    <w:p w14:paraId="50985297" w14:textId="77777777" w:rsidR="00977375" w:rsidRPr="00977375" w:rsidRDefault="00977375" w:rsidP="00977375">
      <w:pPr>
        <w:numPr>
          <w:ilvl w:val="0"/>
          <w:numId w:val="1"/>
        </w:numPr>
      </w:pPr>
      <w:r w:rsidRPr="00977375">
        <w:rPr>
          <w:b/>
          <w:bCs/>
        </w:rPr>
        <w:t>Exploratory patient-reported data</w:t>
      </w:r>
      <w:r w:rsidRPr="00977375">
        <w:t xml:space="preserve"> – Wearables, symptom diaries, and other real-world inputs that enhance clinical understanding.</w:t>
      </w:r>
    </w:p>
    <w:p w14:paraId="7EA55B2B" w14:textId="77777777" w:rsidR="00977375" w:rsidRPr="00977375" w:rsidRDefault="00977375" w:rsidP="00977375">
      <w:r w:rsidRPr="00977375">
        <w:t xml:space="preserve">By layering these datasets, researchers and clinicians can develop </w:t>
      </w:r>
      <w:r w:rsidRPr="00977375">
        <w:rPr>
          <w:b/>
          <w:bCs/>
        </w:rPr>
        <w:t>precision therapies tailored to each patient’s unique genetic and biological profile</w:t>
      </w:r>
      <w:r w:rsidRPr="00977375">
        <w:t xml:space="preserve">. This approach is particularly critical for rare diseases like </w:t>
      </w:r>
      <w:r w:rsidRPr="00977375">
        <w:rPr>
          <w:b/>
          <w:bCs/>
        </w:rPr>
        <w:t>Alternating Hemiplegia of Childhood (AHC)</w:t>
      </w:r>
      <w:r w:rsidRPr="00977375">
        <w:t>, where ATP1A3 mutations drive disease, but secondary genetic and environmental factors influence severity.</w:t>
      </w:r>
    </w:p>
    <w:p w14:paraId="28A78B8A" w14:textId="42F4221E" w:rsidR="00977375" w:rsidRPr="00977375" w:rsidRDefault="00A676A7" w:rsidP="00977375">
      <w:r>
        <w:t xml:space="preserve"> In a speech at the </w:t>
      </w:r>
      <w:r w:rsidR="00977375" w:rsidRPr="00977375">
        <w:t xml:space="preserve">ATP1A3 Symposium </w:t>
      </w:r>
      <w:r>
        <w:t>in Barcelona</w:t>
      </w:r>
      <w:r w:rsidR="00977375" w:rsidRPr="00977375">
        <w:t xml:space="preserve">, </w:t>
      </w:r>
      <w:r>
        <w:t xml:space="preserve">the keynote speaker </w:t>
      </w:r>
      <w:r w:rsidR="00977375" w:rsidRPr="00977375">
        <w:t xml:space="preserve">emphasized the need to </w:t>
      </w:r>
      <w:r w:rsidR="00977375" w:rsidRPr="00977375">
        <w:rPr>
          <w:b/>
          <w:bCs/>
        </w:rPr>
        <w:t>systematize, centralize, and standardize rare disease research to enable scalable solutions</w:t>
      </w:r>
      <w:r w:rsidR="00977375" w:rsidRPr="00977375">
        <w:t>. WGS, when paired with AI-driven analytics, allows researchers to identify patterns across multiple diseases, improving our understanding of genetic pathways and potential therapeutic targets.</w:t>
      </w:r>
    </w:p>
    <w:p w14:paraId="3EA0FDFB" w14:textId="77777777" w:rsidR="00977375" w:rsidRPr="00977375" w:rsidRDefault="00977375" w:rsidP="00977375">
      <w:r w:rsidRPr="00977375">
        <w:pict w14:anchorId="7892ADE0">
          <v:rect id="_x0000_i1063" style="width:0;height:1.5pt" o:hralign="center" o:hrstd="t" o:hr="t" fillcolor="#a0a0a0" stroked="f"/>
        </w:pict>
      </w:r>
    </w:p>
    <w:p w14:paraId="413C5FA6" w14:textId="77777777" w:rsidR="00977375" w:rsidRPr="00977375" w:rsidRDefault="00977375" w:rsidP="00977375">
      <w:pPr>
        <w:rPr>
          <w:b/>
          <w:bCs/>
        </w:rPr>
      </w:pPr>
      <w:r w:rsidRPr="00977375">
        <w:rPr>
          <w:b/>
          <w:bCs/>
        </w:rPr>
        <w:t>AI and Big Data: Unlocking Hidden Insights in Genomics</w:t>
      </w:r>
    </w:p>
    <w:p w14:paraId="442E3880" w14:textId="77777777" w:rsidR="00977375" w:rsidRPr="00977375" w:rsidRDefault="00977375" w:rsidP="00977375">
      <w:r w:rsidRPr="00977375">
        <w:t xml:space="preserve">The explosion of genomic data has created an opportunity for </w:t>
      </w:r>
      <w:r w:rsidRPr="00977375">
        <w:rPr>
          <w:b/>
          <w:bCs/>
        </w:rPr>
        <w:t>AI and machine learning</w:t>
      </w:r>
      <w:r w:rsidRPr="00977375">
        <w:t xml:space="preserve"> to accelerate discoveries. Unlike traditional approaches, which rely on small datasets and linear analyses, AI can:</w:t>
      </w:r>
    </w:p>
    <w:p w14:paraId="3C3A4E22" w14:textId="77777777" w:rsidR="00977375" w:rsidRPr="00977375" w:rsidRDefault="00977375" w:rsidP="00977375">
      <w:pPr>
        <w:numPr>
          <w:ilvl w:val="0"/>
          <w:numId w:val="2"/>
        </w:numPr>
      </w:pPr>
      <w:r w:rsidRPr="00977375">
        <w:rPr>
          <w:b/>
          <w:bCs/>
        </w:rPr>
        <w:t>Detect rare genetic variants with greater accuracy</w:t>
      </w:r>
      <w:r w:rsidRPr="00977375">
        <w:t xml:space="preserve"> by analyzing millions of sequences simultaneously.</w:t>
      </w:r>
    </w:p>
    <w:p w14:paraId="23D43AB5" w14:textId="77777777" w:rsidR="00977375" w:rsidRPr="00977375" w:rsidRDefault="00977375" w:rsidP="00977375">
      <w:pPr>
        <w:numPr>
          <w:ilvl w:val="0"/>
          <w:numId w:val="2"/>
        </w:numPr>
      </w:pPr>
      <w:r w:rsidRPr="00977375">
        <w:rPr>
          <w:b/>
          <w:bCs/>
        </w:rPr>
        <w:t>Predict disease progression</w:t>
      </w:r>
      <w:r w:rsidRPr="00977375">
        <w:t xml:space="preserve"> by integrating WGS with real-world patient data.</w:t>
      </w:r>
    </w:p>
    <w:p w14:paraId="1FDCE8C1" w14:textId="77777777" w:rsidR="00977375" w:rsidRPr="00977375" w:rsidRDefault="00977375" w:rsidP="00977375">
      <w:pPr>
        <w:numPr>
          <w:ilvl w:val="0"/>
          <w:numId w:val="2"/>
        </w:numPr>
      </w:pPr>
      <w:r w:rsidRPr="00977375">
        <w:rPr>
          <w:b/>
          <w:bCs/>
        </w:rPr>
        <w:t>Identify drug targets</w:t>
      </w:r>
      <w:r w:rsidRPr="00977375">
        <w:t xml:space="preserve"> by finding common genetic pathways across different diseases.</w:t>
      </w:r>
    </w:p>
    <w:p w14:paraId="78D9F406" w14:textId="77777777" w:rsidR="00977375" w:rsidRPr="00977375" w:rsidRDefault="00977375" w:rsidP="00977375">
      <w:pPr>
        <w:numPr>
          <w:ilvl w:val="0"/>
          <w:numId w:val="2"/>
        </w:numPr>
      </w:pPr>
      <w:r w:rsidRPr="00977375">
        <w:rPr>
          <w:b/>
          <w:bCs/>
        </w:rPr>
        <w:t>Personalize treatments</w:t>
      </w:r>
      <w:r w:rsidRPr="00977375">
        <w:t xml:space="preserve"> by matching patients with the therapies most likely to work based on their genetic profile.</w:t>
      </w:r>
    </w:p>
    <w:p w14:paraId="5C73880F" w14:textId="77777777" w:rsidR="00977375" w:rsidRPr="00977375" w:rsidRDefault="00977375" w:rsidP="00977375">
      <w:r w:rsidRPr="00977375">
        <w:t xml:space="preserve">For example, machine learning models trained on WGS data have already identified </w:t>
      </w:r>
      <w:r w:rsidRPr="00977375">
        <w:rPr>
          <w:b/>
          <w:bCs/>
        </w:rPr>
        <w:t>new disease-causing mutations in neurodevelopmental disorders</w:t>
      </w:r>
      <w:r w:rsidRPr="00977375">
        <w:t xml:space="preserve">. AI-powered algorithms can also help group patients with similar genetic signatures, opening the door for </w:t>
      </w:r>
      <w:r w:rsidRPr="00977375">
        <w:rPr>
          <w:b/>
          <w:bCs/>
        </w:rPr>
        <w:t>platform approaches to drug development</w:t>
      </w:r>
      <w:r w:rsidRPr="00977375">
        <w:t>—where a single therapy can be used to treat multiple diseases that share an underlying genetic mechanism.</w:t>
      </w:r>
    </w:p>
    <w:p w14:paraId="57378748" w14:textId="77777777" w:rsidR="00977375" w:rsidRPr="00977375" w:rsidRDefault="00977375" w:rsidP="00977375">
      <w:r w:rsidRPr="00977375">
        <w:pict w14:anchorId="2E256E1A">
          <v:rect id="_x0000_i1064" style="width:0;height:1.5pt" o:hralign="center" o:hrstd="t" o:hr="t" fillcolor="#a0a0a0" stroked="f"/>
        </w:pict>
      </w:r>
    </w:p>
    <w:p w14:paraId="084DBB36" w14:textId="77777777" w:rsidR="00977375" w:rsidRPr="00977375" w:rsidRDefault="00977375" w:rsidP="00977375">
      <w:pPr>
        <w:rPr>
          <w:b/>
          <w:bCs/>
        </w:rPr>
      </w:pPr>
      <w:r w:rsidRPr="00977375">
        <w:rPr>
          <w:b/>
          <w:bCs/>
        </w:rPr>
        <w:t>From Data to Treatment: The Role of Genomic Medicine in Drug Development</w:t>
      </w:r>
    </w:p>
    <w:p w14:paraId="2913C93B" w14:textId="77777777" w:rsidR="00977375" w:rsidRPr="00977375" w:rsidRDefault="00977375" w:rsidP="00977375">
      <w:r w:rsidRPr="00977375">
        <w:lastRenderedPageBreak/>
        <w:t xml:space="preserve">Genomic medicine is not just improving diagnosis—it is </w:t>
      </w:r>
      <w:r w:rsidRPr="00977375">
        <w:rPr>
          <w:b/>
          <w:bCs/>
        </w:rPr>
        <w:t>revolutionizing drug development</w:t>
      </w:r>
      <w:r w:rsidRPr="00977375">
        <w:t xml:space="preserve">. By identifying the exact genetic mutations driving a disease, researchers can develop </w:t>
      </w:r>
      <w:r w:rsidRPr="00977375">
        <w:rPr>
          <w:b/>
          <w:bCs/>
        </w:rPr>
        <w:t>targeted therapies</w:t>
      </w:r>
      <w:r w:rsidRPr="00977375">
        <w:t xml:space="preserve"> that are more effective and less toxic. This includes:</w:t>
      </w:r>
    </w:p>
    <w:p w14:paraId="771BA244" w14:textId="77777777" w:rsidR="00977375" w:rsidRPr="00977375" w:rsidRDefault="00977375" w:rsidP="00977375">
      <w:pPr>
        <w:numPr>
          <w:ilvl w:val="0"/>
          <w:numId w:val="3"/>
        </w:numPr>
      </w:pPr>
      <w:r w:rsidRPr="00977375">
        <w:rPr>
          <w:b/>
          <w:bCs/>
        </w:rPr>
        <w:t>Gene therapies</w:t>
      </w:r>
      <w:r w:rsidRPr="00977375">
        <w:t xml:space="preserve"> – Correcting or replacing faulty genes to treat disease at its root cause.</w:t>
      </w:r>
    </w:p>
    <w:p w14:paraId="7A2CEFA1" w14:textId="77777777" w:rsidR="00977375" w:rsidRPr="00977375" w:rsidRDefault="00977375" w:rsidP="00977375">
      <w:pPr>
        <w:numPr>
          <w:ilvl w:val="0"/>
          <w:numId w:val="3"/>
        </w:numPr>
      </w:pPr>
      <w:r w:rsidRPr="00977375">
        <w:rPr>
          <w:b/>
          <w:bCs/>
        </w:rPr>
        <w:t>Antisense oligonucleotides (ASOs)</w:t>
      </w:r>
      <w:r w:rsidRPr="00977375">
        <w:t xml:space="preserve"> – Modifying RNA to counteract disease-causing mutations.</w:t>
      </w:r>
    </w:p>
    <w:p w14:paraId="28F1E71B" w14:textId="77777777" w:rsidR="00977375" w:rsidRPr="00977375" w:rsidRDefault="00977375" w:rsidP="00977375">
      <w:pPr>
        <w:numPr>
          <w:ilvl w:val="0"/>
          <w:numId w:val="3"/>
        </w:numPr>
      </w:pPr>
      <w:r w:rsidRPr="00977375">
        <w:rPr>
          <w:b/>
          <w:bCs/>
        </w:rPr>
        <w:t>Gene editing (CRISPR, Prime Editing, Base Editing)</w:t>
      </w:r>
      <w:r w:rsidRPr="00977375">
        <w:t xml:space="preserve"> – Precisely repairing defective genes.</w:t>
      </w:r>
    </w:p>
    <w:p w14:paraId="633BB4C6" w14:textId="77777777" w:rsidR="00977375" w:rsidRPr="00977375" w:rsidRDefault="00977375" w:rsidP="00977375">
      <w:pPr>
        <w:numPr>
          <w:ilvl w:val="0"/>
          <w:numId w:val="3"/>
        </w:numPr>
      </w:pPr>
      <w:r w:rsidRPr="00977375">
        <w:rPr>
          <w:b/>
          <w:bCs/>
        </w:rPr>
        <w:t>Small-molecule drugs</w:t>
      </w:r>
      <w:r w:rsidRPr="00977375">
        <w:t xml:space="preserve"> – Developing compounds that interact with specific genetic targets.</w:t>
      </w:r>
    </w:p>
    <w:p w14:paraId="0492F217" w14:textId="77777777" w:rsidR="00977375" w:rsidRPr="00977375" w:rsidRDefault="00977375" w:rsidP="00977375">
      <w:pPr>
        <w:numPr>
          <w:ilvl w:val="0"/>
          <w:numId w:val="3"/>
        </w:numPr>
      </w:pPr>
      <w:r w:rsidRPr="00977375">
        <w:rPr>
          <w:b/>
          <w:bCs/>
        </w:rPr>
        <w:t>Drug repurposing</w:t>
      </w:r>
      <w:r w:rsidRPr="00977375">
        <w:t xml:space="preserve"> – Identifying existing drugs that can be used to treat new genetic conditions.</w:t>
      </w:r>
    </w:p>
    <w:p w14:paraId="145E0DE3" w14:textId="77777777" w:rsidR="00977375" w:rsidRPr="00977375" w:rsidRDefault="00977375" w:rsidP="00977375">
      <w:r w:rsidRPr="00977375">
        <w:t xml:space="preserve">By integrating WGS into clinical trials, researchers can rapidly </w:t>
      </w:r>
      <w:r w:rsidRPr="00977375">
        <w:rPr>
          <w:b/>
          <w:bCs/>
        </w:rPr>
        <w:t>identify which patients are most likely to benefit from a given therapy</w:t>
      </w:r>
      <w:r w:rsidRPr="00977375">
        <w:t xml:space="preserve">, increasing the success rate of drug development. This approach has already led to </w:t>
      </w:r>
      <w:r w:rsidRPr="00977375">
        <w:rPr>
          <w:b/>
          <w:bCs/>
        </w:rPr>
        <w:t>groundbreaking treatments for spinal muscular atrophy (SMA) and Duchenne muscular dystrophy (DMD)</w:t>
      </w:r>
      <w:r w:rsidRPr="00977375">
        <w:t>, diseases that were once considered untreatable.</w:t>
      </w:r>
    </w:p>
    <w:p w14:paraId="77477369" w14:textId="77777777" w:rsidR="00977375" w:rsidRPr="00977375" w:rsidRDefault="00977375" w:rsidP="00977375">
      <w:r w:rsidRPr="00977375">
        <w:pict w14:anchorId="6CFD9B82">
          <v:rect id="_x0000_i1065" style="width:0;height:1.5pt" o:hralign="center" o:hrstd="t" o:hr="t" fillcolor="#a0a0a0" stroked="f"/>
        </w:pict>
      </w:r>
    </w:p>
    <w:p w14:paraId="0B237AF5" w14:textId="77777777" w:rsidR="00977375" w:rsidRPr="00977375" w:rsidRDefault="00977375" w:rsidP="00977375">
      <w:pPr>
        <w:rPr>
          <w:b/>
          <w:bCs/>
        </w:rPr>
      </w:pPr>
      <w:r w:rsidRPr="00977375">
        <w:rPr>
          <w:b/>
          <w:bCs/>
        </w:rPr>
        <w:t>The Economic Case for Whole Genome Sequencing</w:t>
      </w:r>
    </w:p>
    <w:p w14:paraId="6B30CD90" w14:textId="77777777" w:rsidR="00977375" w:rsidRPr="00977375" w:rsidRDefault="00977375" w:rsidP="00977375">
      <w:r w:rsidRPr="00977375">
        <w:t>Despite its profound benefits, WGS adoption remains limited by outdated healthcare policies and reimbursement barriers. However, multiple cost-</w:t>
      </w:r>
      <w:proofErr w:type="gramStart"/>
      <w:r w:rsidRPr="00977375">
        <w:t>effectiveness</w:t>
      </w:r>
      <w:proofErr w:type="gramEnd"/>
      <w:r w:rsidRPr="00977375">
        <w:t xml:space="preserve"> studies now confirm that </w:t>
      </w:r>
      <w:r w:rsidRPr="00977375">
        <w:rPr>
          <w:b/>
          <w:bCs/>
        </w:rPr>
        <w:t>WGS is a financially sound investment</w:t>
      </w:r>
      <w:r w:rsidRPr="00977375">
        <w:t>:</w:t>
      </w:r>
    </w:p>
    <w:p w14:paraId="4A4AEEDE" w14:textId="77777777" w:rsidR="00977375" w:rsidRPr="00977375" w:rsidRDefault="00977375" w:rsidP="00977375">
      <w:pPr>
        <w:numPr>
          <w:ilvl w:val="0"/>
          <w:numId w:val="4"/>
        </w:numPr>
      </w:pPr>
      <w:r w:rsidRPr="00977375">
        <w:rPr>
          <w:b/>
          <w:bCs/>
        </w:rPr>
        <w:t>Lavelle &amp; Espinal (2022)</w:t>
      </w:r>
      <w:r w:rsidRPr="00977375">
        <w:t xml:space="preserve"> found that </w:t>
      </w:r>
      <w:r w:rsidRPr="00977375">
        <w:rPr>
          <w:b/>
          <w:bCs/>
        </w:rPr>
        <w:t>first-line WGS is the most cost-effective strategy</w:t>
      </w:r>
      <w:r w:rsidRPr="00977375">
        <w:t xml:space="preserve"> for diagnosing infants with suspected genetic conditions.</w:t>
      </w:r>
    </w:p>
    <w:p w14:paraId="37BAA7AC" w14:textId="77777777" w:rsidR="00977375" w:rsidRPr="00977375" w:rsidRDefault="00977375" w:rsidP="00977375">
      <w:pPr>
        <w:numPr>
          <w:ilvl w:val="0"/>
          <w:numId w:val="4"/>
        </w:numPr>
      </w:pPr>
      <w:proofErr w:type="spellStart"/>
      <w:r w:rsidRPr="00977375">
        <w:rPr>
          <w:b/>
          <w:bCs/>
        </w:rPr>
        <w:t>Runheim</w:t>
      </w:r>
      <w:proofErr w:type="spellEnd"/>
      <w:r w:rsidRPr="00977375">
        <w:rPr>
          <w:b/>
          <w:bCs/>
        </w:rPr>
        <w:t xml:space="preserve"> &amp; Johansson-Soller (2023)</w:t>
      </w:r>
      <w:r w:rsidRPr="00977375">
        <w:t xml:space="preserve"> emphasized that WGS not only improves diagnostic yield but also reduces overall healthcare costs.</w:t>
      </w:r>
    </w:p>
    <w:p w14:paraId="0EBF2FFA" w14:textId="77777777" w:rsidR="00977375" w:rsidRPr="00977375" w:rsidRDefault="00977375" w:rsidP="00977375">
      <w:pPr>
        <w:numPr>
          <w:ilvl w:val="0"/>
          <w:numId w:val="4"/>
        </w:numPr>
      </w:pPr>
      <w:r w:rsidRPr="00977375">
        <w:rPr>
          <w:b/>
          <w:bCs/>
        </w:rPr>
        <w:t>The World Economic Forum (2021)</w:t>
      </w:r>
      <w:r w:rsidRPr="00977375">
        <w:t xml:space="preserve"> projected that the cost of WGS will continue to decline, making it even more accessible.</w:t>
      </w:r>
    </w:p>
    <w:p w14:paraId="57A05007" w14:textId="77777777" w:rsidR="00977375" w:rsidRPr="00977375" w:rsidRDefault="00977375" w:rsidP="00977375">
      <w:r w:rsidRPr="00977375">
        <w:t xml:space="preserve">By shifting toward </w:t>
      </w:r>
      <w:r w:rsidRPr="00977375">
        <w:rPr>
          <w:b/>
          <w:bCs/>
        </w:rPr>
        <w:t>universal WGS screening</w:t>
      </w:r>
      <w:r w:rsidRPr="00977375">
        <w:t xml:space="preserve">, healthcare systems can </w:t>
      </w:r>
      <w:r w:rsidRPr="00977375">
        <w:rPr>
          <w:b/>
          <w:bCs/>
        </w:rPr>
        <w:t>save millions of dollars while improving patient outcomes</w:t>
      </w:r>
      <w:r w:rsidRPr="00977375">
        <w:t>.</w:t>
      </w:r>
    </w:p>
    <w:p w14:paraId="3C2AFDF3" w14:textId="77777777" w:rsidR="00977375" w:rsidRPr="00977375" w:rsidRDefault="00977375" w:rsidP="00977375">
      <w:r w:rsidRPr="00977375">
        <w:pict w14:anchorId="5843AFAE">
          <v:rect id="_x0000_i1066" style="width:0;height:1.5pt" o:hralign="center" o:hrstd="t" o:hr="t" fillcolor="#a0a0a0" stroked="f"/>
        </w:pict>
      </w:r>
    </w:p>
    <w:p w14:paraId="585D3236" w14:textId="77777777" w:rsidR="00977375" w:rsidRPr="00977375" w:rsidRDefault="00977375" w:rsidP="00977375">
      <w:pPr>
        <w:rPr>
          <w:b/>
          <w:bCs/>
        </w:rPr>
      </w:pPr>
      <w:r w:rsidRPr="00977375">
        <w:rPr>
          <w:b/>
          <w:bCs/>
        </w:rPr>
        <w:t>Conclusion: The Time for Genomic Medicine is Now</w:t>
      </w:r>
    </w:p>
    <w:p w14:paraId="0A5C20C8" w14:textId="77777777" w:rsidR="00977375" w:rsidRPr="00977375" w:rsidRDefault="00977375" w:rsidP="00977375">
      <w:r w:rsidRPr="00977375">
        <w:t xml:space="preserve">Whole genome sequencing is not just the </w:t>
      </w:r>
      <w:proofErr w:type="gramStart"/>
      <w:r w:rsidRPr="00977375">
        <w:t>future—</w:t>
      </w:r>
      <w:proofErr w:type="gramEnd"/>
      <w:r w:rsidRPr="00977375">
        <w:t>it is the present. The evidence is clear: WGS improves diagnostic accuracy, reduces costs, accelerates drug development, and lays the foundation for precision medicine.</w:t>
      </w:r>
    </w:p>
    <w:p w14:paraId="0B623FFF" w14:textId="77777777" w:rsidR="00977375" w:rsidRPr="00977375" w:rsidRDefault="00977375" w:rsidP="00977375">
      <w:r w:rsidRPr="00977375">
        <w:t xml:space="preserve">The challenge now is </w:t>
      </w:r>
      <w:r w:rsidRPr="00977375">
        <w:rPr>
          <w:b/>
          <w:bCs/>
        </w:rPr>
        <w:t>implementation</w:t>
      </w:r>
      <w:r w:rsidRPr="00977375">
        <w:t>. Healthcare systems must integrate WGS into standard clinical practice, insurers must provide reimbursement, and policymakers must recognize the economic and human benefits of genomic medicine.</w:t>
      </w:r>
    </w:p>
    <w:p w14:paraId="533DDAF9" w14:textId="77777777" w:rsidR="00977375" w:rsidRPr="00977375" w:rsidRDefault="00977375" w:rsidP="00977375">
      <w:r w:rsidRPr="00977375">
        <w:lastRenderedPageBreak/>
        <w:t xml:space="preserve">For rare disease patients, time is not a </w:t>
      </w:r>
      <w:proofErr w:type="gramStart"/>
      <w:r w:rsidRPr="00977375">
        <w:t>luxury—</w:t>
      </w:r>
      <w:proofErr w:type="gramEnd"/>
      <w:r w:rsidRPr="00977375">
        <w:t>it is a matter of survival. The sooner we embrace the full potential of WGS, the closer we come to ending the diagnostic odyssey and unlocking the cures of tomorrow.</w:t>
      </w:r>
    </w:p>
    <w:p w14:paraId="7597AF5D" w14:textId="77777777" w:rsidR="00BE7464" w:rsidRDefault="00BE7464"/>
    <w:sectPr w:rsidR="00BE7464" w:rsidSect="00D606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47"/>
    <w:multiLevelType w:val="multilevel"/>
    <w:tmpl w:val="B9BA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80504"/>
    <w:multiLevelType w:val="multilevel"/>
    <w:tmpl w:val="367C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E0C11"/>
    <w:multiLevelType w:val="multilevel"/>
    <w:tmpl w:val="3BA4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48408F"/>
    <w:multiLevelType w:val="multilevel"/>
    <w:tmpl w:val="FD84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897935">
    <w:abstractNumId w:val="1"/>
  </w:num>
  <w:num w:numId="2" w16cid:durableId="364911930">
    <w:abstractNumId w:val="3"/>
  </w:num>
  <w:num w:numId="3" w16cid:durableId="1863740019">
    <w:abstractNumId w:val="2"/>
  </w:num>
  <w:num w:numId="4" w16cid:durableId="130994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75"/>
    <w:rsid w:val="002B3978"/>
    <w:rsid w:val="006F45EE"/>
    <w:rsid w:val="00977375"/>
    <w:rsid w:val="00A676A7"/>
    <w:rsid w:val="00AE6F69"/>
    <w:rsid w:val="00BE7464"/>
    <w:rsid w:val="00D4020C"/>
    <w:rsid w:val="00D6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7185"/>
  <w15:chartTrackingRefBased/>
  <w15:docId w15:val="{956D4F68-19F6-4F85-9CC6-3BF88951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3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3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3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3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3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3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3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3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3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3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3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3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3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3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3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375"/>
    <w:rPr>
      <w:rFonts w:eastAsiaTheme="majorEastAsia" w:cstheme="majorBidi"/>
      <w:color w:val="272727" w:themeColor="text1" w:themeTint="D8"/>
    </w:rPr>
  </w:style>
  <w:style w:type="paragraph" w:styleId="Title">
    <w:name w:val="Title"/>
    <w:basedOn w:val="Normal"/>
    <w:next w:val="Normal"/>
    <w:link w:val="TitleChar"/>
    <w:uiPriority w:val="10"/>
    <w:qFormat/>
    <w:rsid w:val="00977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3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3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3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375"/>
    <w:pPr>
      <w:spacing w:before="160"/>
      <w:jc w:val="center"/>
    </w:pPr>
    <w:rPr>
      <w:i/>
      <w:iCs/>
      <w:color w:val="404040" w:themeColor="text1" w:themeTint="BF"/>
    </w:rPr>
  </w:style>
  <w:style w:type="character" w:customStyle="1" w:styleId="QuoteChar">
    <w:name w:val="Quote Char"/>
    <w:basedOn w:val="DefaultParagraphFont"/>
    <w:link w:val="Quote"/>
    <w:uiPriority w:val="29"/>
    <w:rsid w:val="00977375"/>
    <w:rPr>
      <w:i/>
      <w:iCs/>
      <w:color w:val="404040" w:themeColor="text1" w:themeTint="BF"/>
    </w:rPr>
  </w:style>
  <w:style w:type="paragraph" w:styleId="ListParagraph">
    <w:name w:val="List Paragraph"/>
    <w:basedOn w:val="Normal"/>
    <w:uiPriority w:val="34"/>
    <w:qFormat/>
    <w:rsid w:val="00977375"/>
    <w:pPr>
      <w:ind w:left="720"/>
      <w:contextualSpacing/>
    </w:pPr>
  </w:style>
  <w:style w:type="character" w:styleId="IntenseEmphasis">
    <w:name w:val="Intense Emphasis"/>
    <w:basedOn w:val="DefaultParagraphFont"/>
    <w:uiPriority w:val="21"/>
    <w:qFormat/>
    <w:rsid w:val="00977375"/>
    <w:rPr>
      <w:i/>
      <w:iCs/>
      <w:color w:val="0F4761" w:themeColor="accent1" w:themeShade="BF"/>
    </w:rPr>
  </w:style>
  <w:style w:type="paragraph" w:styleId="IntenseQuote">
    <w:name w:val="Intense Quote"/>
    <w:basedOn w:val="Normal"/>
    <w:next w:val="Normal"/>
    <w:link w:val="IntenseQuoteChar"/>
    <w:uiPriority w:val="30"/>
    <w:qFormat/>
    <w:rsid w:val="00977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375"/>
    <w:rPr>
      <w:i/>
      <w:iCs/>
      <w:color w:val="0F4761" w:themeColor="accent1" w:themeShade="BF"/>
    </w:rPr>
  </w:style>
  <w:style w:type="character" w:styleId="IntenseReference">
    <w:name w:val="Intense Reference"/>
    <w:basedOn w:val="DefaultParagraphFont"/>
    <w:uiPriority w:val="32"/>
    <w:qFormat/>
    <w:rsid w:val="009773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87320">
      <w:bodyDiv w:val="1"/>
      <w:marLeft w:val="0"/>
      <w:marRight w:val="0"/>
      <w:marTop w:val="0"/>
      <w:marBottom w:val="0"/>
      <w:divBdr>
        <w:top w:val="none" w:sz="0" w:space="0" w:color="auto"/>
        <w:left w:val="none" w:sz="0" w:space="0" w:color="auto"/>
        <w:bottom w:val="none" w:sz="0" w:space="0" w:color="auto"/>
        <w:right w:val="none" w:sz="0" w:space="0" w:color="auto"/>
      </w:divBdr>
    </w:div>
    <w:div w:id="150628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1194</Words>
  <Characters>6641</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Frost</dc:creator>
  <cp:keywords/>
  <dc:description/>
  <cp:lastModifiedBy>Simon Frost</cp:lastModifiedBy>
  <cp:revision>1</cp:revision>
  <dcterms:created xsi:type="dcterms:W3CDTF">2025-03-07T02:10:00Z</dcterms:created>
  <dcterms:modified xsi:type="dcterms:W3CDTF">2025-03-07T02:25:00Z</dcterms:modified>
</cp:coreProperties>
</file>