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E090" w14:textId="77777777" w:rsidR="00AF172A" w:rsidRPr="00AF172A" w:rsidRDefault="00AF172A" w:rsidP="00AF172A">
      <w:r w:rsidRPr="00AF172A">
        <w:rPr>
          <w:b/>
          <w:bCs/>
        </w:rPr>
        <w:t>Summary of Selected Scientific Papers</w:t>
      </w:r>
    </w:p>
    <w:p w14:paraId="75E89F65" w14:textId="77777777" w:rsidR="00AF172A" w:rsidRPr="00AF172A" w:rsidRDefault="00AF172A" w:rsidP="00AF172A">
      <w:pPr>
        <w:rPr>
          <w:b/>
          <w:bCs/>
        </w:rPr>
      </w:pPr>
      <w:r w:rsidRPr="00AF172A">
        <w:rPr>
          <w:b/>
          <w:bCs/>
        </w:rPr>
        <w:t>1. Antisense Oligonucleotides: An Emerging Area in Drug Discovery and Development (2020)</w:t>
      </w:r>
    </w:p>
    <w:p w14:paraId="7837D08A" w14:textId="77777777" w:rsidR="00AF172A" w:rsidRPr="00AF172A" w:rsidRDefault="00AF172A" w:rsidP="00AF172A">
      <w:pPr>
        <w:numPr>
          <w:ilvl w:val="0"/>
          <w:numId w:val="8"/>
        </w:numPr>
      </w:pPr>
      <w:r w:rsidRPr="00AF172A">
        <w:rPr>
          <w:b/>
          <w:bCs/>
        </w:rPr>
        <w:t>Journal:</w:t>
      </w:r>
      <w:r w:rsidRPr="00AF172A">
        <w:t xml:space="preserve"> Journal of Clinical Medicine</w:t>
      </w:r>
    </w:p>
    <w:p w14:paraId="10482443" w14:textId="77777777" w:rsidR="00AF172A" w:rsidRPr="00AF172A" w:rsidRDefault="00AF172A" w:rsidP="00AF172A">
      <w:pPr>
        <w:numPr>
          <w:ilvl w:val="0"/>
          <w:numId w:val="8"/>
        </w:numPr>
      </w:pPr>
      <w:r w:rsidRPr="00AF172A">
        <w:rPr>
          <w:b/>
          <w:bCs/>
        </w:rPr>
        <w:t>Major Topic:</w:t>
      </w:r>
      <w:r w:rsidRPr="00AF172A">
        <w:t xml:space="preserve"> Antisense oligonucleotide (ASO) therapy</w:t>
      </w:r>
    </w:p>
    <w:p w14:paraId="3AA3E7FF" w14:textId="77777777" w:rsidR="00AF172A" w:rsidRPr="00AF172A" w:rsidRDefault="00AF172A" w:rsidP="00AF172A">
      <w:pPr>
        <w:numPr>
          <w:ilvl w:val="0"/>
          <w:numId w:val="8"/>
        </w:numPr>
      </w:pPr>
      <w:r w:rsidRPr="00AF172A">
        <w:rPr>
          <w:b/>
          <w:bCs/>
        </w:rPr>
        <w:t>Short Reference:</w:t>
      </w:r>
      <w:r w:rsidRPr="00AF172A">
        <w:t xml:space="preserve"> </w:t>
      </w:r>
      <w:proofErr w:type="spellStart"/>
      <w:r w:rsidRPr="00AF172A">
        <w:t>Dhuri</w:t>
      </w:r>
      <w:proofErr w:type="spellEnd"/>
      <w:r w:rsidRPr="00AF172A">
        <w:t xml:space="preserve"> &amp; Bahal (2020)</w:t>
      </w:r>
    </w:p>
    <w:p w14:paraId="3D07EA51" w14:textId="77777777" w:rsidR="00AF172A" w:rsidRPr="00AF172A" w:rsidRDefault="00AF172A" w:rsidP="00AF172A">
      <w:pPr>
        <w:numPr>
          <w:ilvl w:val="0"/>
          <w:numId w:val="8"/>
        </w:numPr>
      </w:pPr>
      <w:r w:rsidRPr="00AF172A">
        <w:rPr>
          <w:b/>
          <w:bCs/>
        </w:rPr>
        <w:t>Synopsis:</w:t>
      </w:r>
      <w:r w:rsidRPr="00AF172A">
        <w:t xml:space="preserve"> This paper provides an in-depth exploration of antisense oligonucleotides (ASOs) and their potential for treating genetic disorders. ASOs work by binding to target RNA sequences, thereby modulating gene expression at the transcriptional or translational level. The study reviews different chemical modifications of ASOs, such as phosphorothioate backbones and locked nucleic acids (LNAs), which improve stability and specificity. It also discusses current FDA-approved ASO-based drugs, such as </w:t>
      </w:r>
      <w:proofErr w:type="spellStart"/>
      <w:r w:rsidRPr="00AF172A">
        <w:t>Nusinersen</w:t>
      </w:r>
      <w:proofErr w:type="spellEnd"/>
      <w:r w:rsidRPr="00AF172A">
        <w:t xml:space="preserve"> for spinal muscular atrophy, and ongoing clinical trials exploring their efficacy in rare neurological and metabolic disorders. Challenges such as immune responses, off-target effects, and effective delivery mechanisms are also examined.</w:t>
      </w:r>
    </w:p>
    <w:p w14:paraId="73B5069B" w14:textId="77777777" w:rsidR="00AF172A" w:rsidRPr="00AF172A" w:rsidRDefault="00AF172A" w:rsidP="00AF172A">
      <w:pPr>
        <w:rPr>
          <w:b/>
          <w:bCs/>
        </w:rPr>
      </w:pPr>
      <w:r w:rsidRPr="00AF172A">
        <w:rPr>
          <w:b/>
          <w:bCs/>
        </w:rPr>
        <w:t>2. Applications of Genome Editing Technology in the Targeted Therapy of Human Diseases (2020)</w:t>
      </w:r>
    </w:p>
    <w:p w14:paraId="02CB58B5" w14:textId="77777777" w:rsidR="00AF172A" w:rsidRPr="00AF172A" w:rsidRDefault="00AF172A" w:rsidP="00AF172A">
      <w:pPr>
        <w:numPr>
          <w:ilvl w:val="0"/>
          <w:numId w:val="9"/>
        </w:numPr>
      </w:pPr>
      <w:r w:rsidRPr="00AF172A">
        <w:rPr>
          <w:b/>
          <w:bCs/>
        </w:rPr>
        <w:t>Journal:</w:t>
      </w:r>
      <w:r w:rsidRPr="00AF172A">
        <w:t xml:space="preserve"> Signal Transduction and Targeted Therapy</w:t>
      </w:r>
    </w:p>
    <w:p w14:paraId="4E16B68D" w14:textId="77777777" w:rsidR="00AF172A" w:rsidRPr="00AF172A" w:rsidRDefault="00AF172A" w:rsidP="00AF172A">
      <w:pPr>
        <w:numPr>
          <w:ilvl w:val="0"/>
          <w:numId w:val="9"/>
        </w:numPr>
      </w:pPr>
      <w:r w:rsidRPr="00AF172A">
        <w:rPr>
          <w:b/>
          <w:bCs/>
        </w:rPr>
        <w:t>Major Topic:</w:t>
      </w:r>
      <w:r w:rsidRPr="00AF172A">
        <w:t xml:space="preserve"> Genome editing technologies</w:t>
      </w:r>
    </w:p>
    <w:p w14:paraId="58660BCD" w14:textId="77777777" w:rsidR="00AF172A" w:rsidRPr="00AF172A" w:rsidRDefault="00AF172A" w:rsidP="00AF172A">
      <w:pPr>
        <w:numPr>
          <w:ilvl w:val="0"/>
          <w:numId w:val="9"/>
        </w:numPr>
      </w:pPr>
      <w:r w:rsidRPr="00AF172A">
        <w:rPr>
          <w:b/>
          <w:bCs/>
        </w:rPr>
        <w:t>Short Reference:</w:t>
      </w:r>
      <w:r w:rsidRPr="00AF172A">
        <w:t xml:space="preserve"> Li &amp; Zhao (2020)</w:t>
      </w:r>
    </w:p>
    <w:p w14:paraId="5DDF9A60" w14:textId="77777777" w:rsidR="00AF172A" w:rsidRPr="00AF172A" w:rsidRDefault="00AF172A" w:rsidP="00AF172A">
      <w:pPr>
        <w:numPr>
          <w:ilvl w:val="0"/>
          <w:numId w:val="9"/>
        </w:numPr>
      </w:pPr>
      <w:r w:rsidRPr="00AF172A">
        <w:rPr>
          <w:b/>
          <w:bCs/>
        </w:rPr>
        <w:t>Synopsis:</w:t>
      </w:r>
      <w:r w:rsidRPr="00AF172A">
        <w:t xml:space="preserve"> This paper reviews the evolution of genome editing technologies, focusing on zinc-finger nucleases (ZFNs), transcription activator-like effector nucleases (TALENs), and CRISPR/Cas9. The authors discuss how these technologies enable precise genetic modifications by introducing or correcting mutations at specific loci. The paper highlights clinical applications in monogenic disorders such as sickle cell disease, cystic fibrosis, and hemophilia, while also examining their potential use in cancer immunotherapy. Ethical concerns, including germline editing, regulatory challenges, and strategies to minimize off-target effects, are critically analyzed.</w:t>
      </w:r>
    </w:p>
    <w:p w14:paraId="66324C15" w14:textId="77777777" w:rsidR="00AF172A" w:rsidRPr="00AF172A" w:rsidRDefault="00AF172A" w:rsidP="00AF172A">
      <w:pPr>
        <w:rPr>
          <w:b/>
          <w:bCs/>
        </w:rPr>
      </w:pPr>
      <w:r w:rsidRPr="00AF172A">
        <w:rPr>
          <w:b/>
          <w:bCs/>
        </w:rPr>
        <w:t>3. Base Editing: Advances and Therapeutic Opportunities (2020)</w:t>
      </w:r>
    </w:p>
    <w:p w14:paraId="329DC175" w14:textId="77777777" w:rsidR="00AF172A" w:rsidRPr="00AF172A" w:rsidRDefault="00AF172A" w:rsidP="00AF172A">
      <w:pPr>
        <w:numPr>
          <w:ilvl w:val="0"/>
          <w:numId w:val="10"/>
        </w:numPr>
      </w:pPr>
      <w:r w:rsidRPr="00AF172A">
        <w:rPr>
          <w:b/>
          <w:bCs/>
        </w:rPr>
        <w:t>Journal:</w:t>
      </w:r>
      <w:r w:rsidRPr="00AF172A">
        <w:t xml:space="preserve"> Nature Reviews Drug Discovery</w:t>
      </w:r>
    </w:p>
    <w:p w14:paraId="69137AB2" w14:textId="77777777" w:rsidR="00AF172A" w:rsidRPr="00AF172A" w:rsidRDefault="00AF172A" w:rsidP="00AF172A">
      <w:pPr>
        <w:numPr>
          <w:ilvl w:val="0"/>
          <w:numId w:val="10"/>
        </w:numPr>
      </w:pPr>
      <w:r w:rsidRPr="00AF172A">
        <w:rPr>
          <w:b/>
          <w:bCs/>
        </w:rPr>
        <w:t>Major Topic:</w:t>
      </w:r>
      <w:r w:rsidRPr="00AF172A">
        <w:t xml:space="preserve"> Base editing for precision medicine</w:t>
      </w:r>
    </w:p>
    <w:p w14:paraId="2B56ECA9" w14:textId="77777777" w:rsidR="00AF172A" w:rsidRPr="00AF172A" w:rsidRDefault="00AF172A" w:rsidP="00AF172A">
      <w:pPr>
        <w:numPr>
          <w:ilvl w:val="0"/>
          <w:numId w:val="10"/>
        </w:numPr>
      </w:pPr>
      <w:r w:rsidRPr="00AF172A">
        <w:rPr>
          <w:b/>
          <w:bCs/>
        </w:rPr>
        <w:t>Short Reference:</w:t>
      </w:r>
      <w:r w:rsidRPr="00AF172A">
        <w:t xml:space="preserve"> Porto &amp; Komor (2020)</w:t>
      </w:r>
    </w:p>
    <w:p w14:paraId="40C1DBBF" w14:textId="77777777" w:rsidR="00AF172A" w:rsidRPr="00AF172A" w:rsidRDefault="00AF172A" w:rsidP="00AF172A">
      <w:pPr>
        <w:numPr>
          <w:ilvl w:val="0"/>
          <w:numId w:val="10"/>
        </w:numPr>
      </w:pPr>
      <w:r w:rsidRPr="00AF172A">
        <w:rPr>
          <w:b/>
          <w:bCs/>
        </w:rPr>
        <w:t>Synopsis:</w:t>
      </w:r>
      <w:r w:rsidRPr="00AF172A">
        <w:t xml:space="preserve"> Base editing is a novel genome modification tool that allows for precise single-nucleotide changes without introducing double-stranded breaks. The paper outlines two primary classes: cytosine base editors (CBEs) and adenine base editors (ABEs), explaining their molecular mechanisms and the advantages over conventional CRISPR systems. The authors provide case studies on how base editing has successfully corrected pathogenic mutations in cell and animal models. The potential for therapeutic applications in treating genetic disorders, such as beta-thalassemia and progeria, is also explored. The study further addresses efficiency improvements, limitations, and next-generation base-editing tools.</w:t>
      </w:r>
    </w:p>
    <w:p w14:paraId="68180BBF" w14:textId="77777777" w:rsidR="00AF172A" w:rsidRPr="00AF172A" w:rsidRDefault="00AF172A" w:rsidP="00AF172A">
      <w:pPr>
        <w:rPr>
          <w:b/>
          <w:bCs/>
        </w:rPr>
      </w:pPr>
      <w:r w:rsidRPr="00AF172A">
        <w:rPr>
          <w:b/>
          <w:bCs/>
        </w:rPr>
        <w:t>4. Antisense Oligonucleotide Therapies for the Treatment of Monogenic Disorders (2024)</w:t>
      </w:r>
    </w:p>
    <w:p w14:paraId="7D8784A9" w14:textId="77777777" w:rsidR="00AF172A" w:rsidRPr="00AF172A" w:rsidRDefault="00AF172A" w:rsidP="00AF172A">
      <w:pPr>
        <w:numPr>
          <w:ilvl w:val="0"/>
          <w:numId w:val="11"/>
        </w:numPr>
      </w:pPr>
      <w:r w:rsidRPr="00AF172A">
        <w:rPr>
          <w:b/>
          <w:bCs/>
        </w:rPr>
        <w:t>Journal:</w:t>
      </w:r>
      <w:r w:rsidRPr="00AF172A">
        <w:t xml:space="preserve"> Communications Medicine</w:t>
      </w:r>
    </w:p>
    <w:p w14:paraId="52F94546" w14:textId="77777777" w:rsidR="00AF172A" w:rsidRPr="00AF172A" w:rsidRDefault="00AF172A" w:rsidP="00AF172A">
      <w:pPr>
        <w:numPr>
          <w:ilvl w:val="0"/>
          <w:numId w:val="11"/>
        </w:numPr>
      </w:pPr>
      <w:r w:rsidRPr="00AF172A">
        <w:rPr>
          <w:b/>
          <w:bCs/>
        </w:rPr>
        <w:t>Major Topic:</w:t>
      </w:r>
      <w:r w:rsidRPr="00AF172A">
        <w:t xml:space="preserve"> ASO therapies for genetic disorders</w:t>
      </w:r>
    </w:p>
    <w:p w14:paraId="3FE36E43" w14:textId="77777777" w:rsidR="00AF172A" w:rsidRPr="00AF172A" w:rsidRDefault="00AF172A" w:rsidP="00AF172A">
      <w:pPr>
        <w:numPr>
          <w:ilvl w:val="0"/>
          <w:numId w:val="11"/>
        </w:numPr>
      </w:pPr>
      <w:r w:rsidRPr="00AF172A">
        <w:rPr>
          <w:b/>
          <w:bCs/>
        </w:rPr>
        <w:t>Short Reference:</w:t>
      </w:r>
      <w:r w:rsidRPr="00AF172A">
        <w:t xml:space="preserve"> Lauffer &amp; Aartsma-Rus (2024)</w:t>
      </w:r>
    </w:p>
    <w:p w14:paraId="1309E665" w14:textId="77777777" w:rsidR="00AF172A" w:rsidRPr="00AF172A" w:rsidRDefault="00AF172A" w:rsidP="00AF172A">
      <w:pPr>
        <w:numPr>
          <w:ilvl w:val="0"/>
          <w:numId w:val="11"/>
        </w:numPr>
      </w:pPr>
      <w:r w:rsidRPr="00AF172A">
        <w:rPr>
          <w:b/>
          <w:bCs/>
        </w:rPr>
        <w:t>Synopsis:</w:t>
      </w:r>
      <w:r w:rsidRPr="00AF172A">
        <w:t xml:space="preserve"> This paper explores the therapeutic potential of ASOs in treating monogenic disorders, focusing on how ASOs modulate RNA processing to correct genetic defects. The study reviews recent advances in ASO chemical modifications that enhance stability and target specificity. It also discusses challenges such as immune response activation, off-target effects, and delivery barriers. Case studies highlight successful ASO-based treatments, including those for Duchenne muscular dystrophy and spinal muscular atrophy. The paper further explores the regulatory landscape and the potential for expanding ASO applications to a broader range of genetic conditions.</w:t>
      </w:r>
    </w:p>
    <w:p w14:paraId="7DD8734D" w14:textId="77777777" w:rsidR="00AF172A" w:rsidRPr="00AF172A" w:rsidRDefault="00AF172A" w:rsidP="00AF172A">
      <w:pPr>
        <w:rPr>
          <w:b/>
          <w:bCs/>
        </w:rPr>
      </w:pPr>
      <w:r w:rsidRPr="00AF172A">
        <w:rPr>
          <w:b/>
          <w:bCs/>
        </w:rPr>
        <w:t>5. Antisense Oligonucleotides and Their Applications in Rare Neurological Diseases (2024)</w:t>
      </w:r>
    </w:p>
    <w:p w14:paraId="73CC3D2B" w14:textId="77777777" w:rsidR="00AF172A" w:rsidRPr="00AF172A" w:rsidRDefault="00AF172A" w:rsidP="00AF172A">
      <w:pPr>
        <w:numPr>
          <w:ilvl w:val="0"/>
          <w:numId w:val="12"/>
        </w:numPr>
      </w:pPr>
      <w:r w:rsidRPr="00AF172A">
        <w:rPr>
          <w:b/>
          <w:bCs/>
        </w:rPr>
        <w:t>Journal:</w:t>
      </w:r>
      <w:r w:rsidRPr="00AF172A">
        <w:t xml:space="preserve"> Frontiers in Neuroscience</w:t>
      </w:r>
    </w:p>
    <w:p w14:paraId="7D537F8C" w14:textId="77777777" w:rsidR="00AF172A" w:rsidRPr="00AF172A" w:rsidRDefault="00AF172A" w:rsidP="00AF172A">
      <w:pPr>
        <w:numPr>
          <w:ilvl w:val="0"/>
          <w:numId w:val="12"/>
        </w:numPr>
      </w:pPr>
      <w:r w:rsidRPr="00AF172A">
        <w:rPr>
          <w:b/>
          <w:bCs/>
        </w:rPr>
        <w:t>Major Topic:</w:t>
      </w:r>
      <w:r w:rsidRPr="00AF172A">
        <w:t xml:space="preserve"> ASOs for neurological diseases</w:t>
      </w:r>
    </w:p>
    <w:p w14:paraId="0751117A" w14:textId="77777777" w:rsidR="00AF172A" w:rsidRPr="00AF172A" w:rsidRDefault="00AF172A" w:rsidP="00AF172A">
      <w:pPr>
        <w:numPr>
          <w:ilvl w:val="0"/>
          <w:numId w:val="12"/>
        </w:numPr>
      </w:pPr>
      <w:r w:rsidRPr="00AF172A">
        <w:rPr>
          <w:b/>
          <w:bCs/>
        </w:rPr>
        <w:t>Short Reference:</w:t>
      </w:r>
      <w:r w:rsidRPr="00AF172A">
        <w:t xml:space="preserve"> McDowall &amp; Li (2024)</w:t>
      </w:r>
    </w:p>
    <w:p w14:paraId="4C183349" w14:textId="77777777" w:rsidR="00AF172A" w:rsidRPr="00AF172A" w:rsidRDefault="00AF172A" w:rsidP="00AF172A">
      <w:pPr>
        <w:numPr>
          <w:ilvl w:val="0"/>
          <w:numId w:val="12"/>
        </w:numPr>
      </w:pPr>
      <w:r w:rsidRPr="00AF172A">
        <w:rPr>
          <w:b/>
          <w:bCs/>
        </w:rPr>
        <w:t>Synopsis:</w:t>
      </w:r>
      <w:r w:rsidRPr="00AF172A">
        <w:t xml:space="preserve"> This paper provides an extensive analysis of ASO applications in rare neurological diseases, emphasizing their role in modifying RNA expression and correcting splicing defects. The authors discuss the latest advances in ASO drug development, including next-generation modifications aimed at improving stability and reducing toxicity. The study highlights real-world clinical applications of ASOs in diseases like Huntington’s disease and amyotrophic lateral sclerosis (ALS). It also discusses potential future therapies, emerging delivery strategies, and key regulatory considerations.</w:t>
      </w:r>
    </w:p>
    <w:p w14:paraId="577459AD" w14:textId="77777777" w:rsidR="00AF172A" w:rsidRPr="00AF172A" w:rsidRDefault="00AF172A" w:rsidP="00AF172A">
      <w:pPr>
        <w:rPr>
          <w:b/>
          <w:bCs/>
        </w:rPr>
      </w:pPr>
      <w:r w:rsidRPr="00AF172A">
        <w:rPr>
          <w:b/>
          <w:bCs/>
        </w:rPr>
        <w:t>6. Prime Editing: Therapeutic Advances and Mechanistic Insights (2024)</w:t>
      </w:r>
    </w:p>
    <w:p w14:paraId="25A119BE" w14:textId="77777777" w:rsidR="00AF172A" w:rsidRPr="00AF172A" w:rsidRDefault="00AF172A" w:rsidP="00AF172A">
      <w:pPr>
        <w:numPr>
          <w:ilvl w:val="0"/>
          <w:numId w:val="13"/>
        </w:numPr>
      </w:pPr>
      <w:r w:rsidRPr="00AF172A">
        <w:rPr>
          <w:b/>
          <w:bCs/>
        </w:rPr>
        <w:t>Journal:</w:t>
      </w:r>
      <w:r w:rsidRPr="00AF172A">
        <w:t xml:space="preserve"> Gene Therapy</w:t>
      </w:r>
    </w:p>
    <w:p w14:paraId="306543F9" w14:textId="77777777" w:rsidR="00AF172A" w:rsidRPr="00AF172A" w:rsidRDefault="00AF172A" w:rsidP="00AF172A">
      <w:pPr>
        <w:numPr>
          <w:ilvl w:val="0"/>
          <w:numId w:val="13"/>
        </w:numPr>
      </w:pPr>
      <w:r w:rsidRPr="00AF172A">
        <w:rPr>
          <w:b/>
          <w:bCs/>
        </w:rPr>
        <w:t>Major Topic:</w:t>
      </w:r>
      <w:r w:rsidRPr="00AF172A">
        <w:t xml:space="preserve"> Prime editing for gene therapy</w:t>
      </w:r>
    </w:p>
    <w:p w14:paraId="37ED78E8" w14:textId="77777777" w:rsidR="00AF172A" w:rsidRPr="00AF172A" w:rsidRDefault="00AF172A" w:rsidP="00AF172A">
      <w:pPr>
        <w:numPr>
          <w:ilvl w:val="0"/>
          <w:numId w:val="13"/>
        </w:numPr>
      </w:pPr>
      <w:r w:rsidRPr="00AF172A">
        <w:rPr>
          <w:b/>
          <w:bCs/>
        </w:rPr>
        <w:t>Short Reference:</w:t>
      </w:r>
      <w:r w:rsidRPr="00AF172A">
        <w:t xml:space="preserve"> Murray &amp; Scholefield (2024)</w:t>
      </w:r>
    </w:p>
    <w:p w14:paraId="2C4420C4" w14:textId="77777777" w:rsidR="00AF172A" w:rsidRPr="00AF172A" w:rsidRDefault="00AF172A" w:rsidP="00AF172A">
      <w:pPr>
        <w:numPr>
          <w:ilvl w:val="0"/>
          <w:numId w:val="13"/>
        </w:numPr>
      </w:pPr>
      <w:r w:rsidRPr="00AF172A">
        <w:rPr>
          <w:b/>
          <w:bCs/>
        </w:rPr>
        <w:t>Synopsis:</w:t>
      </w:r>
      <w:r w:rsidRPr="00AF172A">
        <w:t xml:space="preserve"> Prime editing is a highly precise genome modification technique that allows targeted insertions, deletions, and substitutions without generating double-stranded breaks. This paper explains the molecular mechanism of prime editing, describing how it differs from traditional CRISPR/Cas9 approaches. The study highlights key advancements in prime editing efficiency, improved guide RNA design, and therapeutic applications for inherited disorders. Potential limitations, including editing efficiency and </w:t>
      </w:r>
      <w:proofErr w:type="gramStart"/>
      <w:r w:rsidRPr="00AF172A">
        <w:t>challenges in</w:t>
      </w:r>
      <w:proofErr w:type="gramEnd"/>
      <w:r w:rsidRPr="00AF172A">
        <w:t xml:space="preserve"> in vivo delivery, are also addressed. The authors explore ongoing clinical trials and the future of prime editing as a next-generation gene therapy tool.</w:t>
      </w:r>
    </w:p>
    <w:p w14:paraId="4CA9D9CA" w14:textId="77777777" w:rsidR="00AF172A" w:rsidRPr="00AF172A" w:rsidRDefault="00AF172A" w:rsidP="00AF172A">
      <w:pPr>
        <w:rPr>
          <w:b/>
          <w:bCs/>
        </w:rPr>
      </w:pPr>
      <w:r w:rsidRPr="00AF172A">
        <w:rPr>
          <w:b/>
          <w:bCs/>
        </w:rPr>
        <w:t>7. Drug Discovery and Development: Introduction to the General Public and Patient Groups (2023)</w:t>
      </w:r>
    </w:p>
    <w:p w14:paraId="2B150B60" w14:textId="77777777" w:rsidR="00AF172A" w:rsidRPr="00AF172A" w:rsidRDefault="00AF172A" w:rsidP="00AF172A">
      <w:pPr>
        <w:numPr>
          <w:ilvl w:val="0"/>
          <w:numId w:val="14"/>
        </w:numPr>
      </w:pPr>
      <w:r w:rsidRPr="00AF172A">
        <w:rPr>
          <w:b/>
          <w:bCs/>
        </w:rPr>
        <w:t>Journal:</w:t>
      </w:r>
      <w:r w:rsidRPr="00AF172A">
        <w:t xml:space="preserve"> Nature Drug Reviews</w:t>
      </w:r>
    </w:p>
    <w:p w14:paraId="6162386A" w14:textId="77777777" w:rsidR="00AF172A" w:rsidRPr="00AF172A" w:rsidRDefault="00AF172A" w:rsidP="00AF172A">
      <w:pPr>
        <w:numPr>
          <w:ilvl w:val="0"/>
          <w:numId w:val="14"/>
        </w:numPr>
      </w:pPr>
      <w:r w:rsidRPr="00AF172A">
        <w:rPr>
          <w:b/>
          <w:bCs/>
        </w:rPr>
        <w:t>Major Topic:</w:t>
      </w:r>
      <w:r w:rsidRPr="00AF172A">
        <w:t xml:space="preserve"> Drug discovery and development overview</w:t>
      </w:r>
    </w:p>
    <w:p w14:paraId="101B32D9" w14:textId="77777777" w:rsidR="00AF172A" w:rsidRPr="00AF172A" w:rsidRDefault="00AF172A" w:rsidP="00AF172A">
      <w:pPr>
        <w:numPr>
          <w:ilvl w:val="0"/>
          <w:numId w:val="14"/>
        </w:numPr>
      </w:pPr>
      <w:r w:rsidRPr="00AF172A">
        <w:rPr>
          <w:b/>
          <w:bCs/>
        </w:rPr>
        <w:t>Short Reference:</w:t>
      </w:r>
      <w:r w:rsidRPr="00AF172A">
        <w:t xml:space="preserve"> Singh &amp; </w:t>
      </w:r>
      <w:proofErr w:type="spellStart"/>
      <w:r w:rsidRPr="00AF172A">
        <w:t>Villoutreix</w:t>
      </w:r>
      <w:proofErr w:type="spellEnd"/>
      <w:r w:rsidRPr="00AF172A">
        <w:t xml:space="preserve"> (2023)</w:t>
      </w:r>
    </w:p>
    <w:p w14:paraId="7E7A575D" w14:textId="77777777" w:rsidR="00AF172A" w:rsidRPr="00AF172A" w:rsidRDefault="00AF172A" w:rsidP="00AF172A">
      <w:pPr>
        <w:numPr>
          <w:ilvl w:val="0"/>
          <w:numId w:val="14"/>
        </w:numPr>
      </w:pPr>
      <w:r w:rsidRPr="00AF172A">
        <w:rPr>
          <w:b/>
          <w:bCs/>
        </w:rPr>
        <w:t>Synopsis:</w:t>
      </w:r>
      <w:r w:rsidRPr="00AF172A">
        <w:t xml:space="preserve"> This paper provides an accessible overview of the drug discovery and development process, aimed at educating patient groups and the </w:t>
      </w:r>
      <w:proofErr w:type="gramStart"/>
      <w:r w:rsidRPr="00AF172A">
        <w:t>general public</w:t>
      </w:r>
      <w:proofErr w:type="gramEnd"/>
      <w:r w:rsidRPr="00AF172A">
        <w:t>. The authors outline key steps, including target identification, lead optimization, preclinical studies, and clinical trials. The study also discusses challenges in translating research into approved therapies, regulatory hurdles, and strategies to improve drug approval timelines. Additionally, it highlights the growing role of patient advocacy and public engagement in shaping research priorities.</w:t>
      </w:r>
    </w:p>
    <w:p w14:paraId="36769541" w14:textId="77777777" w:rsidR="00AF172A" w:rsidRPr="00AF172A" w:rsidRDefault="00AF172A" w:rsidP="00AF172A">
      <w:pPr>
        <w:rPr>
          <w:b/>
          <w:bCs/>
        </w:rPr>
      </w:pPr>
      <w:r w:rsidRPr="00AF172A">
        <w:rPr>
          <w:b/>
          <w:bCs/>
        </w:rPr>
        <w:t xml:space="preserve">8. Drug Repurposing: A Systematic Review </w:t>
      </w:r>
      <w:proofErr w:type="gramStart"/>
      <w:r w:rsidRPr="00AF172A">
        <w:rPr>
          <w:b/>
          <w:bCs/>
        </w:rPr>
        <w:t>on</w:t>
      </w:r>
      <w:proofErr w:type="gramEnd"/>
      <w:r w:rsidRPr="00AF172A">
        <w:rPr>
          <w:b/>
          <w:bCs/>
        </w:rPr>
        <w:t xml:space="preserve"> Root Causes, Barriers, and Facilitators (2022)</w:t>
      </w:r>
    </w:p>
    <w:p w14:paraId="7E48ABDC" w14:textId="77777777" w:rsidR="00AF172A" w:rsidRPr="00AF172A" w:rsidRDefault="00AF172A" w:rsidP="00AF172A">
      <w:pPr>
        <w:numPr>
          <w:ilvl w:val="0"/>
          <w:numId w:val="15"/>
        </w:numPr>
      </w:pPr>
      <w:r w:rsidRPr="00AF172A">
        <w:rPr>
          <w:b/>
          <w:bCs/>
        </w:rPr>
        <w:t>Journal:</w:t>
      </w:r>
      <w:r w:rsidRPr="00AF172A">
        <w:t xml:space="preserve"> Trends in Pharmacological Sciences</w:t>
      </w:r>
    </w:p>
    <w:p w14:paraId="44F6218A" w14:textId="77777777" w:rsidR="00AF172A" w:rsidRPr="00AF172A" w:rsidRDefault="00AF172A" w:rsidP="00AF172A">
      <w:pPr>
        <w:numPr>
          <w:ilvl w:val="0"/>
          <w:numId w:val="15"/>
        </w:numPr>
      </w:pPr>
      <w:r w:rsidRPr="00AF172A">
        <w:rPr>
          <w:b/>
          <w:bCs/>
        </w:rPr>
        <w:t>Major Topic:</w:t>
      </w:r>
      <w:r w:rsidRPr="00AF172A">
        <w:t xml:space="preserve"> Drug </w:t>
      </w:r>
      <w:proofErr w:type="gramStart"/>
      <w:r w:rsidRPr="00AF172A">
        <w:t>repurposing</w:t>
      </w:r>
      <w:proofErr w:type="gramEnd"/>
    </w:p>
    <w:p w14:paraId="31718679" w14:textId="77777777" w:rsidR="00AF172A" w:rsidRPr="00AF172A" w:rsidRDefault="00AF172A" w:rsidP="00AF172A">
      <w:pPr>
        <w:numPr>
          <w:ilvl w:val="0"/>
          <w:numId w:val="15"/>
        </w:numPr>
      </w:pPr>
      <w:r w:rsidRPr="00AF172A">
        <w:rPr>
          <w:b/>
          <w:bCs/>
        </w:rPr>
        <w:t>Short Reference:</w:t>
      </w:r>
      <w:r w:rsidRPr="00AF172A">
        <w:t xml:space="preserve"> Krishnamurthy &amp; Miller (2022)</w:t>
      </w:r>
    </w:p>
    <w:p w14:paraId="6B40938A" w14:textId="77777777" w:rsidR="00AF172A" w:rsidRPr="00AF172A" w:rsidRDefault="00AF172A" w:rsidP="00AF172A">
      <w:pPr>
        <w:numPr>
          <w:ilvl w:val="0"/>
          <w:numId w:val="15"/>
        </w:numPr>
      </w:pPr>
      <w:r w:rsidRPr="00AF172A">
        <w:rPr>
          <w:b/>
          <w:bCs/>
        </w:rPr>
        <w:t>Synopsis:</w:t>
      </w:r>
      <w:r w:rsidRPr="00AF172A">
        <w:t xml:space="preserve"> This systematic review analyzes the factors influencing drug repurposing efforts, including scientific, economic, and regulatory challenges. The authors examine case studies of successful drug repurposing initiatives, such as sildenafil (Viagra) and thalidomide, and discuss new computational approaches for predicting repurposing candidates. Barriers such as intellectual property concerns, lack of financial incentives, and regulatory hurdles are explored, along with proposed solutions to streamline repurposing efforts.</w:t>
      </w:r>
    </w:p>
    <w:p w14:paraId="27690F31" w14:textId="77777777" w:rsidR="00AF172A" w:rsidRPr="00AF172A" w:rsidRDefault="00AF172A" w:rsidP="00AF172A">
      <w:pPr>
        <w:rPr>
          <w:b/>
          <w:bCs/>
        </w:rPr>
      </w:pPr>
      <w:r w:rsidRPr="00AF172A">
        <w:rPr>
          <w:b/>
          <w:bCs/>
        </w:rPr>
        <w:t>9. Adeno-Associated Virus as a Delivery Vector for Gene Therapy of Human Diseases (2024)</w:t>
      </w:r>
    </w:p>
    <w:p w14:paraId="0478A099" w14:textId="77777777" w:rsidR="00AF172A" w:rsidRPr="00AF172A" w:rsidRDefault="00AF172A" w:rsidP="00AF172A">
      <w:pPr>
        <w:numPr>
          <w:ilvl w:val="0"/>
          <w:numId w:val="16"/>
        </w:numPr>
      </w:pPr>
      <w:r w:rsidRPr="00AF172A">
        <w:rPr>
          <w:b/>
          <w:bCs/>
        </w:rPr>
        <w:t>Journal:</w:t>
      </w:r>
      <w:r w:rsidRPr="00AF172A">
        <w:t xml:space="preserve"> Signal Transduction and Targeted Therapy</w:t>
      </w:r>
    </w:p>
    <w:p w14:paraId="22B5C03C" w14:textId="77777777" w:rsidR="00AF172A" w:rsidRPr="00AF172A" w:rsidRDefault="00AF172A" w:rsidP="00AF172A">
      <w:pPr>
        <w:numPr>
          <w:ilvl w:val="0"/>
          <w:numId w:val="16"/>
        </w:numPr>
      </w:pPr>
      <w:r w:rsidRPr="00AF172A">
        <w:rPr>
          <w:b/>
          <w:bCs/>
        </w:rPr>
        <w:t>Major Topic:</w:t>
      </w:r>
      <w:r w:rsidRPr="00AF172A">
        <w:t xml:space="preserve"> AAV vectors in gene therapy</w:t>
      </w:r>
    </w:p>
    <w:p w14:paraId="319C8F8B" w14:textId="77777777" w:rsidR="00AF172A" w:rsidRPr="00AF172A" w:rsidRDefault="00AF172A" w:rsidP="00AF172A">
      <w:pPr>
        <w:numPr>
          <w:ilvl w:val="0"/>
          <w:numId w:val="16"/>
        </w:numPr>
      </w:pPr>
      <w:r w:rsidRPr="00AF172A">
        <w:rPr>
          <w:b/>
          <w:bCs/>
        </w:rPr>
        <w:t>Short Reference:</w:t>
      </w:r>
      <w:r w:rsidRPr="00AF172A">
        <w:t xml:space="preserve"> Wang &amp; Gao (2024)</w:t>
      </w:r>
    </w:p>
    <w:p w14:paraId="5E3BA7DA" w14:textId="77777777" w:rsidR="00AF172A" w:rsidRPr="00AF172A" w:rsidRDefault="00AF172A" w:rsidP="00AF172A">
      <w:pPr>
        <w:numPr>
          <w:ilvl w:val="0"/>
          <w:numId w:val="16"/>
        </w:numPr>
      </w:pPr>
      <w:r w:rsidRPr="00AF172A">
        <w:rPr>
          <w:b/>
          <w:bCs/>
        </w:rPr>
        <w:t>Synopsis:</w:t>
      </w:r>
      <w:r w:rsidRPr="00AF172A">
        <w:t xml:space="preserve"> This review explores the use of adeno-associated virus (AAV) as a gene therapy vector. The authors discuss the advantages of AAV, such as its ability to provide long-term gene expression without integrating into the host genome, reducing the risk of insertional mutagenesis. The paper examines clinical trials using AAV for genetic disorders, including spinal muscular atrophy and hemophilia, while addressing challenges like immune responses, vector manufacturing limitations, and strategies to enhance tissue-specific delivery.</w:t>
      </w:r>
    </w:p>
    <w:p w14:paraId="73611312" w14:textId="3A75FA6B" w:rsidR="00BE7464" w:rsidRDefault="00AF172A">
      <w:r w:rsidRPr="00AF172A">
        <w:t>This summary provides a detailed overview of key advancements in ASO therapies, genome editing, drug repurposing, and gene therapy, outlining their impact on modern medicine.</w:t>
      </w:r>
    </w:p>
    <w:sectPr w:rsidR="00BE7464" w:rsidSect="00D606E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51714"/>
    <w:multiLevelType w:val="multilevel"/>
    <w:tmpl w:val="05421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90622"/>
    <w:multiLevelType w:val="multilevel"/>
    <w:tmpl w:val="CBA2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9D4A9E"/>
    <w:multiLevelType w:val="multilevel"/>
    <w:tmpl w:val="C3F06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8271D7"/>
    <w:multiLevelType w:val="multilevel"/>
    <w:tmpl w:val="0C4E5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A70B9D"/>
    <w:multiLevelType w:val="multilevel"/>
    <w:tmpl w:val="79D0C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0D7EB9"/>
    <w:multiLevelType w:val="multilevel"/>
    <w:tmpl w:val="8398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621646"/>
    <w:multiLevelType w:val="multilevel"/>
    <w:tmpl w:val="5DDE7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ED305E"/>
    <w:multiLevelType w:val="multilevel"/>
    <w:tmpl w:val="8A58D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DB0F70"/>
    <w:multiLevelType w:val="multilevel"/>
    <w:tmpl w:val="BB009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056128"/>
    <w:multiLevelType w:val="multilevel"/>
    <w:tmpl w:val="FE26A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6E6865"/>
    <w:multiLevelType w:val="multilevel"/>
    <w:tmpl w:val="52A2A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88504A"/>
    <w:multiLevelType w:val="multilevel"/>
    <w:tmpl w:val="C59C7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2645FF"/>
    <w:multiLevelType w:val="multilevel"/>
    <w:tmpl w:val="12E2E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366812"/>
    <w:multiLevelType w:val="multilevel"/>
    <w:tmpl w:val="82E29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4941E6"/>
    <w:multiLevelType w:val="multilevel"/>
    <w:tmpl w:val="9396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F96188"/>
    <w:multiLevelType w:val="multilevel"/>
    <w:tmpl w:val="B37E9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3801670">
    <w:abstractNumId w:val="5"/>
  </w:num>
  <w:num w:numId="2" w16cid:durableId="1053847277">
    <w:abstractNumId w:val="3"/>
  </w:num>
  <w:num w:numId="3" w16cid:durableId="1600604800">
    <w:abstractNumId w:val="6"/>
  </w:num>
  <w:num w:numId="4" w16cid:durableId="1550608601">
    <w:abstractNumId w:val="8"/>
  </w:num>
  <w:num w:numId="5" w16cid:durableId="1644000974">
    <w:abstractNumId w:val="4"/>
  </w:num>
  <w:num w:numId="6" w16cid:durableId="1531381411">
    <w:abstractNumId w:val="0"/>
  </w:num>
  <w:num w:numId="7" w16cid:durableId="764544454">
    <w:abstractNumId w:val="7"/>
  </w:num>
  <w:num w:numId="8" w16cid:durableId="462845872">
    <w:abstractNumId w:val="10"/>
  </w:num>
  <w:num w:numId="9" w16cid:durableId="1699087833">
    <w:abstractNumId w:val="12"/>
  </w:num>
  <w:num w:numId="10" w16cid:durableId="1825852219">
    <w:abstractNumId w:val="14"/>
  </w:num>
  <w:num w:numId="11" w16cid:durableId="1216308897">
    <w:abstractNumId w:val="9"/>
  </w:num>
  <w:num w:numId="12" w16cid:durableId="1772507076">
    <w:abstractNumId w:val="15"/>
  </w:num>
  <w:num w:numId="13" w16cid:durableId="569508295">
    <w:abstractNumId w:val="13"/>
  </w:num>
  <w:num w:numId="14" w16cid:durableId="1560091596">
    <w:abstractNumId w:val="11"/>
  </w:num>
  <w:num w:numId="15" w16cid:durableId="158542483">
    <w:abstractNumId w:val="2"/>
  </w:num>
  <w:num w:numId="16" w16cid:durableId="286090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CB1"/>
    <w:rsid w:val="006121AE"/>
    <w:rsid w:val="006F45EE"/>
    <w:rsid w:val="008E7CB1"/>
    <w:rsid w:val="00AE6F69"/>
    <w:rsid w:val="00AF172A"/>
    <w:rsid w:val="00BE7464"/>
    <w:rsid w:val="00D4020C"/>
    <w:rsid w:val="00D60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9D924"/>
  <w15:chartTrackingRefBased/>
  <w15:docId w15:val="{0DD6DC74-2AAF-426A-A0CD-5CCED2B82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7C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7C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7C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7C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7C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7C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7C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7C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7C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C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7C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7C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7C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7C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7C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7C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7C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7CB1"/>
    <w:rPr>
      <w:rFonts w:eastAsiaTheme="majorEastAsia" w:cstheme="majorBidi"/>
      <w:color w:val="272727" w:themeColor="text1" w:themeTint="D8"/>
    </w:rPr>
  </w:style>
  <w:style w:type="paragraph" w:styleId="Title">
    <w:name w:val="Title"/>
    <w:basedOn w:val="Normal"/>
    <w:next w:val="Normal"/>
    <w:link w:val="TitleChar"/>
    <w:uiPriority w:val="10"/>
    <w:qFormat/>
    <w:rsid w:val="008E7C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C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C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C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CB1"/>
    <w:pPr>
      <w:spacing w:before="160"/>
      <w:jc w:val="center"/>
    </w:pPr>
    <w:rPr>
      <w:i/>
      <w:iCs/>
      <w:color w:val="404040" w:themeColor="text1" w:themeTint="BF"/>
    </w:rPr>
  </w:style>
  <w:style w:type="character" w:customStyle="1" w:styleId="QuoteChar">
    <w:name w:val="Quote Char"/>
    <w:basedOn w:val="DefaultParagraphFont"/>
    <w:link w:val="Quote"/>
    <w:uiPriority w:val="29"/>
    <w:rsid w:val="008E7CB1"/>
    <w:rPr>
      <w:i/>
      <w:iCs/>
      <w:color w:val="404040" w:themeColor="text1" w:themeTint="BF"/>
    </w:rPr>
  </w:style>
  <w:style w:type="paragraph" w:styleId="ListParagraph">
    <w:name w:val="List Paragraph"/>
    <w:basedOn w:val="Normal"/>
    <w:uiPriority w:val="34"/>
    <w:qFormat/>
    <w:rsid w:val="008E7CB1"/>
    <w:pPr>
      <w:ind w:left="720"/>
      <w:contextualSpacing/>
    </w:pPr>
  </w:style>
  <w:style w:type="character" w:styleId="IntenseEmphasis">
    <w:name w:val="Intense Emphasis"/>
    <w:basedOn w:val="DefaultParagraphFont"/>
    <w:uiPriority w:val="21"/>
    <w:qFormat/>
    <w:rsid w:val="008E7CB1"/>
    <w:rPr>
      <w:i/>
      <w:iCs/>
      <w:color w:val="0F4761" w:themeColor="accent1" w:themeShade="BF"/>
    </w:rPr>
  </w:style>
  <w:style w:type="paragraph" w:styleId="IntenseQuote">
    <w:name w:val="Intense Quote"/>
    <w:basedOn w:val="Normal"/>
    <w:next w:val="Normal"/>
    <w:link w:val="IntenseQuoteChar"/>
    <w:uiPriority w:val="30"/>
    <w:qFormat/>
    <w:rsid w:val="008E7C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7CB1"/>
    <w:rPr>
      <w:i/>
      <w:iCs/>
      <w:color w:val="0F4761" w:themeColor="accent1" w:themeShade="BF"/>
    </w:rPr>
  </w:style>
  <w:style w:type="character" w:styleId="IntenseReference">
    <w:name w:val="Intense Reference"/>
    <w:basedOn w:val="DefaultParagraphFont"/>
    <w:uiPriority w:val="32"/>
    <w:qFormat/>
    <w:rsid w:val="008E7C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362735">
      <w:bodyDiv w:val="1"/>
      <w:marLeft w:val="0"/>
      <w:marRight w:val="0"/>
      <w:marTop w:val="0"/>
      <w:marBottom w:val="0"/>
      <w:divBdr>
        <w:top w:val="none" w:sz="0" w:space="0" w:color="auto"/>
        <w:left w:val="none" w:sz="0" w:space="0" w:color="auto"/>
        <w:bottom w:val="none" w:sz="0" w:space="0" w:color="auto"/>
        <w:right w:val="none" w:sz="0" w:space="0" w:color="auto"/>
      </w:divBdr>
    </w:div>
    <w:div w:id="1140223021">
      <w:bodyDiv w:val="1"/>
      <w:marLeft w:val="0"/>
      <w:marRight w:val="0"/>
      <w:marTop w:val="0"/>
      <w:marBottom w:val="0"/>
      <w:divBdr>
        <w:top w:val="none" w:sz="0" w:space="0" w:color="auto"/>
        <w:left w:val="none" w:sz="0" w:space="0" w:color="auto"/>
        <w:bottom w:val="none" w:sz="0" w:space="0" w:color="auto"/>
        <w:right w:val="none" w:sz="0" w:space="0" w:color="auto"/>
      </w:divBdr>
    </w:div>
    <w:div w:id="1488663457">
      <w:bodyDiv w:val="1"/>
      <w:marLeft w:val="0"/>
      <w:marRight w:val="0"/>
      <w:marTop w:val="0"/>
      <w:marBottom w:val="0"/>
      <w:divBdr>
        <w:top w:val="none" w:sz="0" w:space="0" w:color="auto"/>
        <w:left w:val="none" w:sz="0" w:space="0" w:color="auto"/>
        <w:bottom w:val="none" w:sz="0" w:space="0" w:color="auto"/>
        <w:right w:val="none" w:sz="0" w:space="0" w:color="auto"/>
      </w:divBdr>
    </w:div>
    <w:div w:id="195667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1325</Words>
  <Characters>6468</Characters>
  <Application>Microsoft Office Word</Application>
  <DocSecurity>0</DocSecurity>
  <Lines>106</Lines>
  <Paragraphs>56</Paragraphs>
  <ScaleCrop>false</ScaleCrop>
  <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Frost</dc:creator>
  <cp:keywords/>
  <dc:description/>
  <cp:lastModifiedBy>Simon Frost</cp:lastModifiedBy>
  <cp:revision>1</cp:revision>
  <dcterms:created xsi:type="dcterms:W3CDTF">2025-02-28T03:15:00Z</dcterms:created>
  <dcterms:modified xsi:type="dcterms:W3CDTF">2025-02-28T03:16:00Z</dcterms:modified>
</cp:coreProperties>
</file>