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A684" w14:textId="77777777" w:rsidR="00FE681A" w:rsidRPr="00FE681A" w:rsidRDefault="00FE681A" w:rsidP="00FE681A">
      <w:r w:rsidRPr="00FE681A">
        <w:rPr>
          <w:b/>
          <w:bCs/>
        </w:rPr>
        <w:t>Title:</w:t>
      </w:r>
      <w:r w:rsidRPr="00FE681A">
        <w:t xml:space="preserve"> </w:t>
      </w:r>
      <w:r w:rsidRPr="00FE681A">
        <w:rPr>
          <w:i/>
          <w:iCs/>
        </w:rPr>
        <w:t>Alternating Hemiplegia of Childhood: Gastrointestinal Manifestations and Correlation with Neurological Impairments</w:t>
      </w:r>
      <w:r w:rsidRPr="00FE681A">
        <w:br/>
      </w:r>
      <w:r w:rsidRPr="00FE681A">
        <w:rPr>
          <w:b/>
          <w:bCs/>
        </w:rPr>
        <w:t>Authors:</w:t>
      </w:r>
      <w:r w:rsidRPr="00FE681A">
        <w:t xml:space="preserve"> Milton Pratt et al.</w:t>
      </w:r>
      <w:r w:rsidRPr="00FE681A">
        <w:br/>
      </w:r>
      <w:r w:rsidRPr="00FE681A">
        <w:rPr>
          <w:b/>
          <w:bCs/>
        </w:rPr>
        <w:t>Published in:</w:t>
      </w:r>
      <w:r w:rsidRPr="00FE681A">
        <w:t xml:space="preserve"> </w:t>
      </w:r>
      <w:proofErr w:type="spellStart"/>
      <w:r w:rsidRPr="00FE681A">
        <w:rPr>
          <w:i/>
          <w:iCs/>
        </w:rPr>
        <w:t>Orphanet</w:t>
      </w:r>
      <w:proofErr w:type="spellEnd"/>
      <w:r w:rsidRPr="00FE681A">
        <w:rPr>
          <w:i/>
          <w:iCs/>
        </w:rPr>
        <w:t xml:space="preserve"> Journal of Rare Diseases (2020)</w:t>
      </w:r>
    </w:p>
    <w:p w14:paraId="101C1E53" w14:textId="77777777" w:rsidR="00FE681A" w:rsidRPr="00FE681A" w:rsidRDefault="00FE681A" w:rsidP="00FE681A">
      <w:pPr>
        <w:rPr>
          <w:b/>
          <w:bCs/>
        </w:rPr>
      </w:pPr>
      <w:r w:rsidRPr="00FE681A">
        <w:rPr>
          <w:b/>
          <w:bCs/>
        </w:rPr>
        <w:t>Background</w:t>
      </w:r>
    </w:p>
    <w:p w14:paraId="21C4201C" w14:textId="77777777" w:rsidR="00FE681A" w:rsidRPr="00FE681A" w:rsidRDefault="00FE681A" w:rsidP="00FE681A">
      <w:r w:rsidRPr="00FE681A">
        <w:t xml:space="preserve">Alternating Hemiplegia of Childhood (AHC) is a rare neurodevelopmental disorder caused by mutations in the </w:t>
      </w:r>
      <w:r w:rsidRPr="00FE681A">
        <w:rPr>
          <w:i/>
          <w:iCs/>
        </w:rPr>
        <w:t>ATP1A3</w:t>
      </w:r>
      <w:r w:rsidRPr="00FE681A">
        <w:t xml:space="preserve"> gene, which affects brain areas controlling autonomic functions, including gastrointestinal (GI) motility. The study aimed to determine the prevalence and severity of GI problems in AHC patients and their correlation with neurological impairments.</w:t>
      </w:r>
    </w:p>
    <w:p w14:paraId="7C10905C" w14:textId="77777777" w:rsidR="00FE681A" w:rsidRPr="00FE681A" w:rsidRDefault="00FE681A" w:rsidP="00FE681A">
      <w:pPr>
        <w:rPr>
          <w:b/>
          <w:bCs/>
        </w:rPr>
      </w:pPr>
      <w:r w:rsidRPr="00FE681A">
        <w:rPr>
          <w:b/>
          <w:bCs/>
        </w:rPr>
        <w:t>Methods</w:t>
      </w:r>
    </w:p>
    <w:p w14:paraId="227F107C" w14:textId="77777777" w:rsidR="00FE681A" w:rsidRPr="00FE681A" w:rsidRDefault="00FE681A" w:rsidP="00FE681A">
      <w:r w:rsidRPr="00FE681A">
        <w:t>The study reviewed 44 AHC patients from the Duke AHC Multidisciplinary Clinic over 4.5 years. It assessed GI symptoms, their severity, and their association with neurological impairments using various disability indices and functional classification systems.</w:t>
      </w:r>
    </w:p>
    <w:p w14:paraId="7FA830A5" w14:textId="77777777" w:rsidR="00FE681A" w:rsidRPr="00FE681A" w:rsidRDefault="00FE681A" w:rsidP="00FE681A">
      <w:pPr>
        <w:rPr>
          <w:b/>
          <w:bCs/>
        </w:rPr>
      </w:pPr>
      <w:r w:rsidRPr="00FE681A">
        <w:rPr>
          <w:b/>
          <w:bCs/>
        </w:rPr>
        <w:t>Results</w:t>
      </w:r>
    </w:p>
    <w:p w14:paraId="725F34B5" w14:textId="77777777" w:rsidR="00FE681A" w:rsidRPr="00FE681A" w:rsidRDefault="00FE681A" w:rsidP="00FE681A">
      <w:pPr>
        <w:numPr>
          <w:ilvl w:val="0"/>
          <w:numId w:val="1"/>
        </w:numPr>
      </w:pPr>
      <w:r w:rsidRPr="00FE681A">
        <w:rPr>
          <w:b/>
          <w:bCs/>
        </w:rPr>
        <w:t>Prevalence of GI Symptoms:</w:t>
      </w:r>
    </w:p>
    <w:p w14:paraId="4975ECE1" w14:textId="77777777" w:rsidR="00FE681A" w:rsidRPr="00FE681A" w:rsidRDefault="00FE681A" w:rsidP="00FE681A">
      <w:pPr>
        <w:numPr>
          <w:ilvl w:val="1"/>
          <w:numId w:val="1"/>
        </w:numPr>
      </w:pPr>
      <w:r w:rsidRPr="00FE681A">
        <w:t>93% (41/44) of patients exhibited GI symptoms requiring medical attention.</w:t>
      </w:r>
    </w:p>
    <w:p w14:paraId="4C0D4795" w14:textId="77777777" w:rsidR="00FE681A" w:rsidRPr="00FE681A" w:rsidRDefault="00FE681A" w:rsidP="00FE681A">
      <w:pPr>
        <w:numPr>
          <w:ilvl w:val="1"/>
          <w:numId w:val="1"/>
        </w:numPr>
      </w:pPr>
      <w:r w:rsidRPr="00FE681A">
        <w:t>Common symptoms: constipation (66%), swallowing difficulties (63%), vomiting (63%), anorexia (46%), diarrhea (44%), nausea (37%), and abdominal pain (22%).</w:t>
      </w:r>
    </w:p>
    <w:p w14:paraId="348002C9" w14:textId="77777777" w:rsidR="00FE681A" w:rsidRPr="00FE681A" w:rsidRDefault="00FE681A" w:rsidP="00FE681A">
      <w:pPr>
        <w:numPr>
          <w:ilvl w:val="1"/>
          <w:numId w:val="1"/>
        </w:numPr>
      </w:pPr>
      <w:r w:rsidRPr="00FE681A">
        <w:t>Symptoms indicative of dysmotility were present in 80% of patients.</w:t>
      </w:r>
    </w:p>
    <w:p w14:paraId="2DF7A2D3" w14:textId="77777777" w:rsidR="00FE681A" w:rsidRPr="00FE681A" w:rsidRDefault="00FE681A" w:rsidP="00FE681A">
      <w:pPr>
        <w:numPr>
          <w:ilvl w:val="0"/>
          <w:numId w:val="1"/>
        </w:numPr>
      </w:pPr>
      <w:r w:rsidRPr="00FE681A">
        <w:rPr>
          <w:b/>
          <w:bCs/>
        </w:rPr>
        <w:t>Severe Cases &amp; Interventions:</w:t>
      </w:r>
    </w:p>
    <w:p w14:paraId="102E4F46" w14:textId="77777777" w:rsidR="00FE681A" w:rsidRPr="00FE681A" w:rsidRDefault="00FE681A" w:rsidP="00FE681A">
      <w:pPr>
        <w:numPr>
          <w:ilvl w:val="1"/>
          <w:numId w:val="1"/>
        </w:numPr>
      </w:pPr>
      <w:r w:rsidRPr="00FE681A">
        <w:t>39% required gastrostomy (G-tube placement), and two underwent fundoplication.</w:t>
      </w:r>
    </w:p>
    <w:p w14:paraId="5BA3E301" w14:textId="77777777" w:rsidR="00FE681A" w:rsidRPr="00FE681A" w:rsidRDefault="00FE681A" w:rsidP="00FE681A">
      <w:pPr>
        <w:numPr>
          <w:ilvl w:val="1"/>
          <w:numId w:val="1"/>
        </w:numPr>
      </w:pPr>
      <w:r w:rsidRPr="00FE681A">
        <w:t xml:space="preserve">The most common diagnoses were </w:t>
      </w:r>
      <w:r w:rsidRPr="00FE681A">
        <w:rPr>
          <w:b/>
          <w:bCs/>
        </w:rPr>
        <w:t>oropharyngeal dysphagia (63%)</w:t>
      </w:r>
      <w:r w:rsidRPr="00FE681A">
        <w:t xml:space="preserve"> and </w:t>
      </w:r>
      <w:r w:rsidRPr="00FE681A">
        <w:rPr>
          <w:b/>
          <w:bCs/>
        </w:rPr>
        <w:t>gastroesophageal reflux (63%)</w:t>
      </w:r>
      <w:r w:rsidRPr="00FE681A">
        <w:t>.</w:t>
      </w:r>
    </w:p>
    <w:p w14:paraId="39488E81" w14:textId="77777777" w:rsidR="00FE681A" w:rsidRPr="00FE681A" w:rsidRDefault="00FE681A" w:rsidP="00FE681A">
      <w:pPr>
        <w:numPr>
          <w:ilvl w:val="0"/>
          <w:numId w:val="1"/>
        </w:numPr>
      </w:pPr>
      <w:r w:rsidRPr="00FE681A">
        <w:rPr>
          <w:b/>
          <w:bCs/>
        </w:rPr>
        <w:t>Correlation with Neurological Severity:</w:t>
      </w:r>
    </w:p>
    <w:p w14:paraId="2F8FCF58" w14:textId="77777777" w:rsidR="00FE681A" w:rsidRPr="00FE681A" w:rsidRDefault="00FE681A" w:rsidP="00FE681A">
      <w:pPr>
        <w:numPr>
          <w:ilvl w:val="1"/>
          <w:numId w:val="1"/>
        </w:numPr>
      </w:pPr>
      <w:r w:rsidRPr="00FE681A">
        <w:t xml:space="preserve">Severity of GI symptoms </w:t>
      </w:r>
      <w:r w:rsidRPr="00FE681A">
        <w:rPr>
          <w:b/>
          <w:bCs/>
        </w:rPr>
        <w:t>correlated</w:t>
      </w:r>
      <w:r w:rsidRPr="00FE681A">
        <w:t xml:space="preserve"> with non-paroxysmal neurological impairments, Gross Motor Function Classification System (GMFCS) scores, and the presence of non-GI autonomic dysfunction.</w:t>
      </w:r>
    </w:p>
    <w:p w14:paraId="3B122CB3" w14:textId="77777777" w:rsidR="00FE681A" w:rsidRPr="00FE681A" w:rsidRDefault="00FE681A" w:rsidP="00FE681A">
      <w:pPr>
        <w:numPr>
          <w:ilvl w:val="1"/>
          <w:numId w:val="1"/>
        </w:numPr>
      </w:pPr>
      <w:r w:rsidRPr="00FE681A">
        <w:t>No significant correlation was found between GI severity and paroxysmal disability index.</w:t>
      </w:r>
    </w:p>
    <w:p w14:paraId="43499EAD" w14:textId="77777777" w:rsidR="00FE681A" w:rsidRPr="00FE681A" w:rsidRDefault="00FE681A" w:rsidP="00FE681A">
      <w:pPr>
        <w:rPr>
          <w:b/>
          <w:bCs/>
        </w:rPr>
      </w:pPr>
      <w:r w:rsidRPr="00FE681A">
        <w:rPr>
          <w:b/>
          <w:bCs/>
        </w:rPr>
        <w:t>Conclusions</w:t>
      </w:r>
    </w:p>
    <w:p w14:paraId="7A592FE8" w14:textId="77777777" w:rsidR="00FE681A" w:rsidRPr="00FE681A" w:rsidRDefault="00FE681A" w:rsidP="00FE681A">
      <w:r w:rsidRPr="00FE681A">
        <w:t xml:space="preserve">GI problems are </w:t>
      </w:r>
      <w:r w:rsidRPr="00FE681A">
        <w:rPr>
          <w:b/>
          <w:bCs/>
        </w:rPr>
        <w:t>highly prevalent and often severe</w:t>
      </w:r>
      <w:r w:rsidRPr="00FE681A">
        <w:t xml:space="preserve"> in AHC patients. They frequently require medical and surgical interventions and are linked to non-paroxysmal neurological impairments. These findings suggest that </w:t>
      </w:r>
      <w:r w:rsidRPr="00FE681A">
        <w:rPr>
          <w:b/>
          <w:bCs/>
        </w:rPr>
        <w:t>GI issues should be actively monitored and managed</w:t>
      </w:r>
      <w:r w:rsidRPr="00FE681A">
        <w:t xml:space="preserve"> in AHC patients as part of a comprehensive care approach.</w:t>
      </w:r>
    </w:p>
    <w:p w14:paraId="4A8FC80C" w14:textId="77777777" w:rsidR="00FE681A" w:rsidRPr="00FE681A" w:rsidRDefault="00FE681A" w:rsidP="00FE681A">
      <w:r w:rsidRPr="00FE681A">
        <w:lastRenderedPageBreak/>
        <w:t xml:space="preserve">The study highlights the </w:t>
      </w:r>
      <w:r w:rsidRPr="00FE681A">
        <w:rPr>
          <w:b/>
          <w:bCs/>
        </w:rPr>
        <w:t>importance of multidisciplinary management</w:t>
      </w:r>
      <w:r w:rsidRPr="00FE681A">
        <w:t>, early intervention, and anticipatory guidance to improve outcomes for AHC patients. It also aligns with existing knowledge about AHC pathophysiology, particularly autonomic dysfunction and GABAergic dysfunction affecting GI motility.</w:t>
      </w:r>
    </w:p>
    <w:p w14:paraId="08FA5C70" w14:textId="77777777" w:rsidR="00FE681A" w:rsidRPr="00FE681A" w:rsidRDefault="00FE681A" w:rsidP="00FE681A">
      <w:r w:rsidRPr="00FE681A">
        <w:t>4o</w:t>
      </w:r>
    </w:p>
    <w:p w14:paraId="07B8F3A2" w14:textId="77777777" w:rsidR="00FE681A" w:rsidRPr="00FE681A" w:rsidRDefault="00FE681A" w:rsidP="00FE681A">
      <w:pPr>
        <w:rPr>
          <w:b/>
          <w:bCs/>
        </w:rPr>
      </w:pPr>
      <w:r w:rsidRPr="00FE681A">
        <w:rPr>
          <w:b/>
          <w:bCs/>
        </w:rPr>
        <w:t>You said:</w:t>
      </w:r>
    </w:p>
    <w:p w14:paraId="5D673124" w14:textId="77777777" w:rsidR="00FE681A" w:rsidRPr="00FE681A" w:rsidRDefault="00FE681A" w:rsidP="00FE681A">
      <w:proofErr w:type="gramStart"/>
      <w:r w:rsidRPr="00FE681A">
        <w:t>please</w:t>
      </w:r>
      <w:proofErr w:type="gramEnd"/>
      <w:r w:rsidRPr="00FE681A">
        <w:t xml:space="preserve"> provide a more detailed summary</w:t>
      </w:r>
    </w:p>
    <w:p w14:paraId="5AD5211F" w14:textId="77777777" w:rsidR="00FE681A" w:rsidRPr="00FE681A" w:rsidRDefault="00FE681A" w:rsidP="00FE681A">
      <w:pPr>
        <w:rPr>
          <w:b/>
          <w:bCs/>
        </w:rPr>
      </w:pPr>
      <w:r w:rsidRPr="00FE681A">
        <w:rPr>
          <w:b/>
          <w:bCs/>
        </w:rPr>
        <w:t>ChatGPT said:</w:t>
      </w:r>
    </w:p>
    <w:p w14:paraId="3D648372" w14:textId="77777777" w:rsidR="00FE681A" w:rsidRPr="00FE681A" w:rsidRDefault="00FE681A" w:rsidP="00FE681A">
      <w:pPr>
        <w:rPr>
          <w:b/>
          <w:bCs/>
        </w:rPr>
      </w:pPr>
      <w:r w:rsidRPr="00FE681A">
        <w:rPr>
          <w:b/>
          <w:bCs/>
        </w:rPr>
        <w:t>Detailed Summary of the Paper</w:t>
      </w:r>
    </w:p>
    <w:p w14:paraId="54137671" w14:textId="77777777" w:rsidR="00FE681A" w:rsidRPr="00FE681A" w:rsidRDefault="00FE681A" w:rsidP="00FE681A">
      <w:r w:rsidRPr="00FE681A">
        <w:rPr>
          <w:b/>
          <w:bCs/>
        </w:rPr>
        <w:t>Title:</w:t>
      </w:r>
      <w:r w:rsidRPr="00FE681A">
        <w:t xml:space="preserve"> </w:t>
      </w:r>
      <w:r w:rsidRPr="00FE681A">
        <w:rPr>
          <w:i/>
          <w:iCs/>
        </w:rPr>
        <w:t>Alternating Hemiplegia of Childhood: Gastrointestinal Manifestations and Correlation with Neurological Impairments</w:t>
      </w:r>
      <w:r w:rsidRPr="00FE681A">
        <w:br/>
      </w:r>
      <w:r w:rsidRPr="00FE681A">
        <w:rPr>
          <w:b/>
          <w:bCs/>
        </w:rPr>
        <w:t>Authors:</w:t>
      </w:r>
      <w:r w:rsidRPr="00FE681A">
        <w:t xml:space="preserve"> Milton Pratt, Julie Uchitel, Nancy McGreal, Kelly Gordon, Lyndsey Prange, Melissa McLean, Richard J. Noel, Blaire Rikard, Mary K. Rogers Boruta, and Mohamad A. Mikati</w:t>
      </w:r>
      <w:r w:rsidRPr="00FE681A">
        <w:br/>
      </w:r>
      <w:r w:rsidRPr="00FE681A">
        <w:rPr>
          <w:b/>
          <w:bCs/>
        </w:rPr>
        <w:t>Published in:</w:t>
      </w:r>
      <w:r w:rsidRPr="00FE681A">
        <w:t xml:space="preserve"> </w:t>
      </w:r>
      <w:proofErr w:type="spellStart"/>
      <w:r w:rsidRPr="00FE681A">
        <w:rPr>
          <w:i/>
          <w:iCs/>
        </w:rPr>
        <w:t>Orphanet</w:t>
      </w:r>
      <w:proofErr w:type="spellEnd"/>
      <w:r w:rsidRPr="00FE681A">
        <w:rPr>
          <w:i/>
          <w:iCs/>
        </w:rPr>
        <w:t xml:space="preserve"> Journal of Rare Diseases (2020)</w:t>
      </w:r>
      <w:r w:rsidRPr="00FE681A">
        <w:br/>
      </w:r>
      <w:r w:rsidRPr="00FE681A">
        <w:rPr>
          <w:b/>
          <w:bCs/>
        </w:rPr>
        <w:t>DOI:</w:t>
      </w:r>
      <w:r w:rsidRPr="00FE681A">
        <w:t xml:space="preserve"> </w:t>
      </w:r>
      <w:hyperlink r:id="rId5" w:tgtFrame="_new" w:history="1">
        <w:r w:rsidRPr="00FE681A">
          <w:rPr>
            <w:rStyle w:val="Hyperlink"/>
          </w:rPr>
          <w:t>10.1186/s13023-020-01474-w</w:t>
        </w:r>
      </w:hyperlink>
    </w:p>
    <w:p w14:paraId="09B3B894" w14:textId="77777777" w:rsidR="00FE681A" w:rsidRPr="00FE681A" w:rsidRDefault="00FE681A" w:rsidP="00FE681A">
      <w:r w:rsidRPr="00FE681A">
        <w:pict w14:anchorId="6F57D1BC">
          <v:rect id="_x0000_i1073" style="width:0;height:1.5pt" o:hralign="center" o:hrstd="t" o:hr="t" fillcolor="#a0a0a0" stroked="f"/>
        </w:pict>
      </w:r>
    </w:p>
    <w:p w14:paraId="4EBCABFA" w14:textId="77777777" w:rsidR="00FE681A" w:rsidRPr="00FE681A" w:rsidRDefault="00FE681A" w:rsidP="00FE681A">
      <w:pPr>
        <w:rPr>
          <w:b/>
          <w:bCs/>
        </w:rPr>
      </w:pPr>
      <w:r w:rsidRPr="00FE681A">
        <w:rPr>
          <w:b/>
          <w:bCs/>
        </w:rPr>
        <w:t>1. Background</w:t>
      </w:r>
    </w:p>
    <w:p w14:paraId="371E8816" w14:textId="77777777" w:rsidR="00FE681A" w:rsidRPr="00FE681A" w:rsidRDefault="00FE681A" w:rsidP="00FE681A">
      <w:r w:rsidRPr="00FE681A">
        <w:t xml:space="preserve">Alternating Hemiplegia of Childhood (AHC) is a rare and complex neurodevelopmental disorder. It is caused primarily by mutations in the </w:t>
      </w:r>
      <w:r w:rsidRPr="00FE681A">
        <w:rPr>
          <w:i/>
          <w:iCs/>
        </w:rPr>
        <w:t>ATP1A3</w:t>
      </w:r>
      <w:r w:rsidRPr="00FE681A">
        <w:t xml:space="preserve"> gene, which encodes the alpha-3 subunit of the sodium-potassium ATPase enzyme. This gene is critical for neural function and is highly expressed in areas of the brain that regulate </w:t>
      </w:r>
      <w:r w:rsidRPr="00FE681A">
        <w:rPr>
          <w:b/>
          <w:bCs/>
        </w:rPr>
        <w:t>autonomic, gastrointestinal (GI) motility, and GABAergic functions</w:t>
      </w:r>
      <w:r w:rsidRPr="00FE681A">
        <w:t>.</w:t>
      </w:r>
    </w:p>
    <w:p w14:paraId="29578DE8" w14:textId="77777777" w:rsidR="00FE681A" w:rsidRPr="00FE681A" w:rsidRDefault="00FE681A" w:rsidP="00FE681A">
      <w:r w:rsidRPr="00FE681A">
        <w:t xml:space="preserve">AHC is diagnosed using the </w:t>
      </w:r>
      <w:r w:rsidRPr="00FE681A">
        <w:rPr>
          <w:b/>
          <w:bCs/>
        </w:rPr>
        <w:t>Aicardi criteria</w:t>
      </w:r>
      <w:r w:rsidRPr="00FE681A">
        <w:t>, which include:</w:t>
      </w:r>
    </w:p>
    <w:p w14:paraId="1EEBD5EC" w14:textId="77777777" w:rsidR="00FE681A" w:rsidRPr="00FE681A" w:rsidRDefault="00FE681A" w:rsidP="00FE681A">
      <w:pPr>
        <w:numPr>
          <w:ilvl w:val="0"/>
          <w:numId w:val="2"/>
        </w:numPr>
      </w:pPr>
      <w:r w:rsidRPr="00FE681A">
        <w:t>Onset before 18 months of age</w:t>
      </w:r>
    </w:p>
    <w:p w14:paraId="587A9400" w14:textId="77777777" w:rsidR="00FE681A" w:rsidRPr="00FE681A" w:rsidRDefault="00FE681A" w:rsidP="00FE681A">
      <w:pPr>
        <w:numPr>
          <w:ilvl w:val="0"/>
          <w:numId w:val="2"/>
        </w:numPr>
      </w:pPr>
      <w:r w:rsidRPr="00FE681A">
        <w:t>Paroxysmal hemiplegia episodes</w:t>
      </w:r>
    </w:p>
    <w:p w14:paraId="718CB8F6" w14:textId="77777777" w:rsidR="00FE681A" w:rsidRPr="00FE681A" w:rsidRDefault="00FE681A" w:rsidP="00FE681A">
      <w:pPr>
        <w:numPr>
          <w:ilvl w:val="0"/>
          <w:numId w:val="2"/>
        </w:numPr>
      </w:pPr>
      <w:r w:rsidRPr="00FE681A">
        <w:t>Bilateral hemiplegia or quadriplegia episodes</w:t>
      </w:r>
    </w:p>
    <w:p w14:paraId="3EA0A3F6" w14:textId="77777777" w:rsidR="00FE681A" w:rsidRPr="00FE681A" w:rsidRDefault="00FE681A" w:rsidP="00FE681A">
      <w:pPr>
        <w:numPr>
          <w:ilvl w:val="0"/>
          <w:numId w:val="2"/>
        </w:numPr>
      </w:pPr>
      <w:r w:rsidRPr="00FE681A">
        <w:t>Other paroxysmal manifestations (e.g., abnormal eye movements, dystonia, ataxia)</w:t>
      </w:r>
    </w:p>
    <w:p w14:paraId="33BEF21B" w14:textId="77777777" w:rsidR="00FE681A" w:rsidRPr="00FE681A" w:rsidRDefault="00FE681A" w:rsidP="00FE681A">
      <w:pPr>
        <w:numPr>
          <w:ilvl w:val="0"/>
          <w:numId w:val="2"/>
        </w:numPr>
      </w:pPr>
      <w:r w:rsidRPr="00FE681A">
        <w:t>Evidence of permanent neurological dysfunction (e.g., cognitive impairment, motor deficits)</w:t>
      </w:r>
    </w:p>
    <w:p w14:paraId="3F5AB233" w14:textId="77777777" w:rsidR="00FE681A" w:rsidRPr="00FE681A" w:rsidRDefault="00FE681A" w:rsidP="00FE681A">
      <w:pPr>
        <w:numPr>
          <w:ilvl w:val="0"/>
          <w:numId w:val="2"/>
        </w:numPr>
      </w:pPr>
      <w:r w:rsidRPr="00FE681A">
        <w:t xml:space="preserve">Symptoms </w:t>
      </w:r>
      <w:proofErr w:type="gramStart"/>
      <w:r w:rsidRPr="00FE681A">
        <w:t>relieved</w:t>
      </w:r>
      <w:proofErr w:type="gramEnd"/>
      <w:r w:rsidRPr="00FE681A">
        <w:t xml:space="preserve"> by sleep but resuming after waking</w:t>
      </w:r>
    </w:p>
    <w:p w14:paraId="157337CE" w14:textId="77777777" w:rsidR="00FE681A" w:rsidRPr="00FE681A" w:rsidRDefault="00FE681A" w:rsidP="00FE681A">
      <w:r w:rsidRPr="00FE681A">
        <w:t xml:space="preserve">While </w:t>
      </w:r>
      <w:r w:rsidRPr="00FE681A">
        <w:rPr>
          <w:b/>
          <w:bCs/>
        </w:rPr>
        <w:t>neurological symptoms</w:t>
      </w:r>
      <w:r w:rsidRPr="00FE681A">
        <w:t xml:space="preserve"> of AHC are well recognized, </w:t>
      </w:r>
      <w:r w:rsidRPr="00FE681A">
        <w:rPr>
          <w:b/>
          <w:bCs/>
        </w:rPr>
        <w:t>gastrointestinal (GI) symptoms</w:t>
      </w:r>
      <w:r w:rsidRPr="00FE681A">
        <w:t xml:space="preserve"> have not been extensively studied, despite frequent observations of GI issues in clinical practice. This study aimed to explore two hypotheses:</w:t>
      </w:r>
    </w:p>
    <w:p w14:paraId="0030952F" w14:textId="77777777" w:rsidR="00FE681A" w:rsidRPr="00FE681A" w:rsidRDefault="00FE681A" w:rsidP="00FE681A">
      <w:pPr>
        <w:numPr>
          <w:ilvl w:val="0"/>
          <w:numId w:val="3"/>
        </w:numPr>
      </w:pPr>
      <w:r w:rsidRPr="00FE681A">
        <w:t xml:space="preserve">AHC patients frequently experience </w:t>
      </w:r>
      <w:r w:rsidRPr="00FE681A">
        <w:rPr>
          <w:b/>
          <w:bCs/>
        </w:rPr>
        <w:t>GI problems</w:t>
      </w:r>
      <w:r w:rsidRPr="00FE681A">
        <w:t>, especially related to motility.</w:t>
      </w:r>
    </w:p>
    <w:p w14:paraId="62D7DA27" w14:textId="77777777" w:rsidR="00FE681A" w:rsidRPr="00FE681A" w:rsidRDefault="00FE681A" w:rsidP="00FE681A">
      <w:pPr>
        <w:numPr>
          <w:ilvl w:val="0"/>
          <w:numId w:val="3"/>
        </w:numPr>
      </w:pPr>
      <w:r w:rsidRPr="00FE681A">
        <w:t xml:space="preserve">The severity of these </w:t>
      </w:r>
      <w:r w:rsidRPr="00FE681A">
        <w:rPr>
          <w:b/>
          <w:bCs/>
        </w:rPr>
        <w:t>GI issues correlates with neurological impairments</w:t>
      </w:r>
      <w:r w:rsidRPr="00FE681A">
        <w:t>.</w:t>
      </w:r>
    </w:p>
    <w:p w14:paraId="0DD8FF36" w14:textId="77777777" w:rsidR="00FE681A" w:rsidRPr="00FE681A" w:rsidRDefault="00FE681A" w:rsidP="00FE681A">
      <w:r w:rsidRPr="00FE681A">
        <w:lastRenderedPageBreak/>
        <w:pict w14:anchorId="17160F03">
          <v:rect id="_x0000_i1074" style="width:0;height:1.5pt" o:hralign="center" o:hrstd="t" o:hr="t" fillcolor="#a0a0a0" stroked="f"/>
        </w:pict>
      </w:r>
    </w:p>
    <w:p w14:paraId="58C371D7" w14:textId="77777777" w:rsidR="00FE681A" w:rsidRPr="00FE681A" w:rsidRDefault="00FE681A" w:rsidP="00FE681A">
      <w:pPr>
        <w:rPr>
          <w:b/>
          <w:bCs/>
        </w:rPr>
      </w:pPr>
      <w:r w:rsidRPr="00FE681A">
        <w:rPr>
          <w:b/>
          <w:bCs/>
        </w:rPr>
        <w:t>2. Methods</w:t>
      </w:r>
    </w:p>
    <w:p w14:paraId="5CF319EC" w14:textId="77777777" w:rsidR="00FE681A" w:rsidRPr="00FE681A" w:rsidRDefault="00FE681A" w:rsidP="00FE681A">
      <w:r w:rsidRPr="00FE681A">
        <w:t xml:space="preserve">The study was conducted as a </w:t>
      </w:r>
      <w:r w:rsidRPr="00FE681A">
        <w:rPr>
          <w:b/>
          <w:bCs/>
        </w:rPr>
        <w:t>retrospective review</w:t>
      </w:r>
      <w:r w:rsidRPr="00FE681A">
        <w:t xml:space="preserve"> of a prospective database from the Duke AHC Multidisciplinary Clinic. The cohort consisted of </w:t>
      </w:r>
      <w:r w:rsidRPr="00FE681A">
        <w:rPr>
          <w:b/>
          <w:bCs/>
        </w:rPr>
        <w:t>44 consecutive AHC patients</w:t>
      </w:r>
      <w:r w:rsidRPr="00FE681A">
        <w:t>, all meeting the Aicardi diagnostic criteria.</w:t>
      </w:r>
    </w:p>
    <w:p w14:paraId="7536643F" w14:textId="77777777" w:rsidR="00FE681A" w:rsidRPr="00FE681A" w:rsidRDefault="00FE681A" w:rsidP="00FE681A">
      <w:pPr>
        <w:numPr>
          <w:ilvl w:val="0"/>
          <w:numId w:val="4"/>
        </w:numPr>
      </w:pPr>
      <w:r w:rsidRPr="00FE681A">
        <w:rPr>
          <w:b/>
          <w:bCs/>
        </w:rPr>
        <w:t>Data Collection:</w:t>
      </w:r>
    </w:p>
    <w:p w14:paraId="42B0CC35" w14:textId="77777777" w:rsidR="00FE681A" w:rsidRPr="00FE681A" w:rsidRDefault="00FE681A" w:rsidP="00FE681A">
      <w:pPr>
        <w:numPr>
          <w:ilvl w:val="1"/>
          <w:numId w:val="4"/>
        </w:numPr>
      </w:pPr>
      <w:r w:rsidRPr="00FE681A">
        <w:t xml:space="preserve">Patients were followed over </w:t>
      </w:r>
      <w:r w:rsidRPr="00FE681A">
        <w:rPr>
          <w:b/>
          <w:bCs/>
        </w:rPr>
        <w:t>4.5 years</w:t>
      </w:r>
      <w:r w:rsidRPr="00FE681A">
        <w:t xml:space="preserve">, and data were entered into an </w:t>
      </w:r>
      <w:r w:rsidRPr="00FE681A">
        <w:rPr>
          <w:b/>
          <w:bCs/>
        </w:rPr>
        <w:t>IRB-approved database</w:t>
      </w:r>
      <w:r w:rsidRPr="00FE681A">
        <w:t>.</w:t>
      </w:r>
    </w:p>
    <w:p w14:paraId="1396E8E5" w14:textId="77777777" w:rsidR="00FE681A" w:rsidRPr="00FE681A" w:rsidRDefault="00FE681A" w:rsidP="00FE681A">
      <w:pPr>
        <w:numPr>
          <w:ilvl w:val="1"/>
          <w:numId w:val="4"/>
        </w:numPr>
      </w:pPr>
      <w:r w:rsidRPr="00FE681A">
        <w:t>GI symptoms were assessed using medical records, clinical evaluations, and diagnostic tests.</w:t>
      </w:r>
    </w:p>
    <w:p w14:paraId="1F71524A" w14:textId="77777777" w:rsidR="00FE681A" w:rsidRPr="00FE681A" w:rsidRDefault="00FE681A" w:rsidP="00FE681A">
      <w:pPr>
        <w:numPr>
          <w:ilvl w:val="1"/>
          <w:numId w:val="4"/>
        </w:numPr>
      </w:pPr>
      <w:r w:rsidRPr="00FE681A">
        <w:t xml:space="preserve">Severity of symptoms was graded on a </w:t>
      </w:r>
      <w:r w:rsidRPr="00FE681A">
        <w:rPr>
          <w:b/>
          <w:bCs/>
        </w:rPr>
        <w:t>scale from 0 to 3</w:t>
      </w:r>
      <w:r w:rsidRPr="00FE681A">
        <w:t>, where:</w:t>
      </w:r>
    </w:p>
    <w:p w14:paraId="596EA418" w14:textId="77777777" w:rsidR="00FE681A" w:rsidRPr="00FE681A" w:rsidRDefault="00FE681A" w:rsidP="00FE681A">
      <w:pPr>
        <w:numPr>
          <w:ilvl w:val="2"/>
          <w:numId w:val="4"/>
        </w:numPr>
      </w:pPr>
      <w:r w:rsidRPr="00FE681A">
        <w:rPr>
          <w:b/>
          <w:bCs/>
        </w:rPr>
        <w:t>0 = No symptoms</w:t>
      </w:r>
    </w:p>
    <w:p w14:paraId="049A03F0" w14:textId="77777777" w:rsidR="00FE681A" w:rsidRPr="00FE681A" w:rsidRDefault="00FE681A" w:rsidP="00FE681A">
      <w:pPr>
        <w:numPr>
          <w:ilvl w:val="2"/>
          <w:numId w:val="4"/>
        </w:numPr>
      </w:pPr>
      <w:r w:rsidRPr="00FE681A">
        <w:rPr>
          <w:b/>
          <w:bCs/>
        </w:rPr>
        <w:t>1 = Symptoms requiring medical attention</w:t>
      </w:r>
    </w:p>
    <w:p w14:paraId="2395D226" w14:textId="77777777" w:rsidR="00FE681A" w:rsidRPr="00FE681A" w:rsidRDefault="00FE681A" w:rsidP="00FE681A">
      <w:pPr>
        <w:numPr>
          <w:ilvl w:val="2"/>
          <w:numId w:val="4"/>
        </w:numPr>
      </w:pPr>
      <w:r w:rsidRPr="00FE681A">
        <w:rPr>
          <w:b/>
          <w:bCs/>
        </w:rPr>
        <w:t>2 = Symptoms requiring medication</w:t>
      </w:r>
    </w:p>
    <w:p w14:paraId="45ABCBFA" w14:textId="77777777" w:rsidR="00FE681A" w:rsidRPr="00FE681A" w:rsidRDefault="00FE681A" w:rsidP="00FE681A">
      <w:pPr>
        <w:numPr>
          <w:ilvl w:val="2"/>
          <w:numId w:val="4"/>
        </w:numPr>
      </w:pPr>
      <w:r w:rsidRPr="00FE681A">
        <w:rPr>
          <w:b/>
          <w:bCs/>
        </w:rPr>
        <w:t>3 = Symptoms requiring surgery</w:t>
      </w:r>
    </w:p>
    <w:p w14:paraId="6ABD1D4B" w14:textId="77777777" w:rsidR="00FE681A" w:rsidRPr="00FE681A" w:rsidRDefault="00FE681A" w:rsidP="00FE681A">
      <w:pPr>
        <w:numPr>
          <w:ilvl w:val="0"/>
          <w:numId w:val="4"/>
        </w:numPr>
      </w:pPr>
      <w:r w:rsidRPr="00FE681A">
        <w:rPr>
          <w:b/>
          <w:bCs/>
        </w:rPr>
        <w:t>Neurological Correlation:</w:t>
      </w:r>
    </w:p>
    <w:p w14:paraId="7419C087" w14:textId="77777777" w:rsidR="00FE681A" w:rsidRPr="00FE681A" w:rsidRDefault="00FE681A" w:rsidP="00FE681A">
      <w:pPr>
        <w:numPr>
          <w:ilvl w:val="1"/>
          <w:numId w:val="4"/>
        </w:numPr>
      </w:pPr>
      <w:r w:rsidRPr="00FE681A">
        <w:t xml:space="preserve">The severity of GI symptoms was correlated with established </w:t>
      </w:r>
      <w:r w:rsidRPr="00FE681A">
        <w:rPr>
          <w:b/>
          <w:bCs/>
        </w:rPr>
        <w:t>neurological disability indices</w:t>
      </w:r>
      <w:r w:rsidRPr="00FE681A">
        <w:t>, including:</w:t>
      </w:r>
    </w:p>
    <w:p w14:paraId="1AFBE5AB" w14:textId="77777777" w:rsidR="00FE681A" w:rsidRPr="00FE681A" w:rsidRDefault="00FE681A" w:rsidP="00FE681A">
      <w:pPr>
        <w:numPr>
          <w:ilvl w:val="2"/>
          <w:numId w:val="4"/>
        </w:numPr>
      </w:pPr>
      <w:r w:rsidRPr="00FE681A">
        <w:rPr>
          <w:b/>
          <w:bCs/>
        </w:rPr>
        <w:t>Paroxysmal Disability Index (PDI):</w:t>
      </w:r>
      <w:r w:rsidRPr="00FE681A">
        <w:t xml:space="preserve"> Measures severity, frequency, and duration of </w:t>
      </w:r>
      <w:proofErr w:type="spellStart"/>
      <w:r w:rsidRPr="00FE681A">
        <w:t>plegic</w:t>
      </w:r>
      <w:proofErr w:type="spellEnd"/>
      <w:r w:rsidRPr="00FE681A">
        <w:t xml:space="preserve"> and dystonic attacks.</w:t>
      </w:r>
    </w:p>
    <w:p w14:paraId="4CA696E1" w14:textId="77777777" w:rsidR="00FE681A" w:rsidRPr="00FE681A" w:rsidRDefault="00FE681A" w:rsidP="00FE681A">
      <w:pPr>
        <w:numPr>
          <w:ilvl w:val="2"/>
          <w:numId w:val="4"/>
        </w:numPr>
      </w:pPr>
      <w:r w:rsidRPr="00FE681A">
        <w:rPr>
          <w:b/>
          <w:bCs/>
        </w:rPr>
        <w:t>Non-Paroxysmal Disability Index (NPDI):</w:t>
      </w:r>
      <w:r w:rsidRPr="00FE681A">
        <w:t xml:space="preserve"> Assesses long-term neurological impairments (e.g., motor deficits, cognition).</w:t>
      </w:r>
    </w:p>
    <w:p w14:paraId="2DF713B3" w14:textId="77777777" w:rsidR="00FE681A" w:rsidRPr="00FE681A" w:rsidRDefault="00FE681A" w:rsidP="00FE681A">
      <w:pPr>
        <w:numPr>
          <w:ilvl w:val="2"/>
          <w:numId w:val="4"/>
        </w:numPr>
      </w:pPr>
      <w:r w:rsidRPr="00FE681A">
        <w:rPr>
          <w:b/>
          <w:bCs/>
        </w:rPr>
        <w:t>Gross Motor Function Classification System (GMFCS):</w:t>
      </w:r>
      <w:r w:rsidRPr="00FE681A">
        <w:t xml:space="preserve"> Evaluates motor function on a scale from I (mild) to V (severe).</w:t>
      </w:r>
    </w:p>
    <w:p w14:paraId="7ABB8B52" w14:textId="77777777" w:rsidR="00FE681A" w:rsidRPr="00FE681A" w:rsidRDefault="00FE681A" w:rsidP="00FE681A">
      <w:pPr>
        <w:numPr>
          <w:ilvl w:val="0"/>
          <w:numId w:val="4"/>
        </w:numPr>
      </w:pPr>
      <w:r w:rsidRPr="00FE681A">
        <w:rPr>
          <w:b/>
          <w:bCs/>
        </w:rPr>
        <w:t>Statistical Analysis:</w:t>
      </w:r>
    </w:p>
    <w:p w14:paraId="07DCCC11" w14:textId="77777777" w:rsidR="00FE681A" w:rsidRPr="00FE681A" w:rsidRDefault="00FE681A" w:rsidP="00FE681A">
      <w:pPr>
        <w:numPr>
          <w:ilvl w:val="1"/>
          <w:numId w:val="4"/>
        </w:numPr>
      </w:pPr>
      <w:r w:rsidRPr="00FE681A">
        <w:t>Spearman’s rank correlation was used to assess the relationship between GI symptom severity and neurological disability indices.</w:t>
      </w:r>
    </w:p>
    <w:p w14:paraId="3C8D64A5" w14:textId="77777777" w:rsidR="00FE681A" w:rsidRPr="00FE681A" w:rsidRDefault="00FE681A" w:rsidP="00FE681A">
      <w:pPr>
        <w:numPr>
          <w:ilvl w:val="1"/>
          <w:numId w:val="4"/>
        </w:numPr>
      </w:pPr>
      <w:r w:rsidRPr="00FE681A">
        <w:t>Cramer’s V test was used to measure the strength of association between GI symptoms and non-GI autonomic dysfunction (e.g., sweating, flushing, tachycardia).</w:t>
      </w:r>
    </w:p>
    <w:p w14:paraId="175AD7D3" w14:textId="77777777" w:rsidR="00FE681A" w:rsidRPr="00FE681A" w:rsidRDefault="00FE681A" w:rsidP="00FE681A">
      <w:r w:rsidRPr="00FE681A">
        <w:pict w14:anchorId="444AA75A">
          <v:rect id="_x0000_i1075" style="width:0;height:1.5pt" o:hralign="center" o:hrstd="t" o:hr="t" fillcolor="#a0a0a0" stroked="f"/>
        </w:pict>
      </w:r>
    </w:p>
    <w:p w14:paraId="131670E1" w14:textId="77777777" w:rsidR="00FE681A" w:rsidRPr="00FE681A" w:rsidRDefault="00FE681A" w:rsidP="00FE681A">
      <w:pPr>
        <w:rPr>
          <w:b/>
          <w:bCs/>
        </w:rPr>
      </w:pPr>
      <w:r w:rsidRPr="00FE681A">
        <w:rPr>
          <w:b/>
          <w:bCs/>
        </w:rPr>
        <w:t>3. Results</w:t>
      </w:r>
    </w:p>
    <w:p w14:paraId="5EF51631" w14:textId="77777777" w:rsidR="00FE681A" w:rsidRPr="00FE681A" w:rsidRDefault="00FE681A" w:rsidP="00FE681A">
      <w:pPr>
        <w:rPr>
          <w:b/>
          <w:bCs/>
        </w:rPr>
      </w:pPr>
      <w:r w:rsidRPr="00FE681A">
        <w:rPr>
          <w:b/>
          <w:bCs/>
        </w:rPr>
        <w:t>3.1 Patient Characteristics</w:t>
      </w:r>
    </w:p>
    <w:p w14:paraId="7B614750" w14:textId="77777777" w:rsidR="00FE681A" w:rsidRPr="00FE681A" w:rsidRDefault="00FE681A" w:rsidP="00FE681A">
      <w:pPr>
        <w:numPr>
          <w:ilvl w:val="0"/>
          <w:numId w:val="5"/>
        </w:numPr>
      </w:pPr>
      <w:r w:rsidRPr="00FE681A">
        <w:rPr>
          <w:b/>
          <w:bCs/>
        </w:rPr>
        <w:lastRenderedPageBreak/>
        <w:t>Age Range:</w:t>
      </w:r>
      <w:r w:rsidRPr="00FE681A">
        <w:t xml:space="preserve"> 3–45 years (Mean: </w:t>
      </w:r>
      <w:r w:rsidRPr="00FE681A">
        <w:rPr>
          <w:b/>
          <w:bCs/>
        </w:rPr>
        <w:t>10.4 ± 9.5</w:t>
      </w:r>
      <w:r w:rsidRPr="00FE681A">
        <w:t xml:space="preserve"> years)</w:t>
      </w:r>
    </w:p>
    <w:p w14:paraId="5DF9CF62" w14:textId="77777777" w:rsidR="00FE681A" w:rsidRPr="00FE681A" w:rsidRDefault="00FE681A" w:rsidP="00FE681A">
      <w:pPr>
        <w:numPr>
          <w:ilvl w:val="0"/>
          <w:numId w:val="5"/>
        </w:numPr>
      </w:pPr>
      <w:r w:rsidRPr="00FE681A">
        <w:rPr>
          <w:b/>
          <w:bCs/>
        </w:rPr>
        <w:t>Gender:</w:t>
      </w:r>
      <w:r w:rsidRPr="00FE681A">
        <w:t xml:space="preserve"> 18 males, 26 females</w:t>
      </w:r>
    </w:p>
    <w:p w14:paraId="5395BE3D" w14:textId="77777777" w:rsidR="00FE681A" w:rsidRPr="00FE681A" w:rsidRDefault="00FE681A" w:rsidP="00FE681A">
      <w:pPr>
        <w:numPr>
          <w:ilvl w:val="0"/>
          <w:numId w:val="5"/>
        </w:numPr>
      </w:pPr>
      <w:r w:rsidRPr="00FE681A">
        <w:rPr>
          <w:b/>
          <w:bCs/>
        </w:rPr>
        <w:t>Genetic Findings:</w:t>
      </w:r>
    </w:p>
    <w:p w14:paraId="32B0099F" w14:textId="77777777" w:rsidR="00FE681A" w:rsidRPr="00FE681A" w:rsidRDefault="00FE681A" w:rsidP="00FE681A">
      <w:pPr>
        <w:numPr>
          <w:ilvl w:val="1"/>
          <w:numId w:val="5"/>
        </w:numPr>
      </w:pPr>
      <w:r w:rsidRPr="00FE681A">
        <w:rPr>
          <w:b/>
          <w:bCs/>
        </w:rPr>
        <w:t>71.4% (30/42) tested positive</w:t>
      </w:r>
      <w:r w:rsidRPr="00FE681A">
        <w:t xml:space="preserve"> for </w:t>
      </w:r>
      <w:r w:rsidRPr="00FE681A">
        <w:rPr>
          <w:i/>
          <w:iCs/>
        </w:rPr>
        <w:t>ATP1A3</w:t>
      </w:r>
      <w:r w:rsidRPr="00FE681A">
        <w:t xml:space="preserve"> mutations.</w:t>
      </w:r>
    </w:p>
    <w:p w14:paraId="266DDBF9" w14:textId="77777777" w:rsidR="00FE681A" w:rsidRPr="00FE681A" w:rsidRDefault="00FE681A" w:rsidP="00FE681A">
      <w:pPr>
        <w:numPr>
          <w:ilvl w:val="1"/>
          <w:numId w:val="5"/>
        </w:numPr>
      </w:pPr>
      <w:r w:rsidRPr="00FE681A">
        <w:rPr>
          <w:b/>
          <w:bCs/>
        </w:rPr>
        <w:t>28.6% (12/42) tested negative</w:t>
      </w:r>
      <w:r w:rsidRPr="00FE681A">
        <w:t xml:space="preserve"> for known mutations.</w:t>
      </w:r>
    </w:p>
    <w:p w14:paraId="5F9CB6AC" w14:textId="77777777" w:rsidR="00FE681A" w:rsidRPr="00FE681A" w:rsidRDefault="00FE681A" w:rsidP="00FE681A">
      <w:pPr>
        <w:numPr>
          <w:ilvl w:val="1"/>
          <w:numId w:val="5"/>
        </w:numPr>
      </w:pPr>
      <w:r w:rsidRPr="00FE681A">
        <w:t xml:space="preserve">Most common mutation: </w:t>
      </w:r>
      <w:r w:rsidRPr="00FE681A">
        <w:rPr>
          <w:b/>
          <w:bCs/>
        </w:rPr>
        <w:t>D801N (8 patients), E815K (5 patients), G89D (3 patients), G755C (2 patients)</w:t>
      </w:r>
      <w:r w:rsidRPr="00FE681A">
        <w:t>.</w:t>
      </w:r>
    </w:p>
    <w:p w14:paraId="1A18CECF" w14:textId="77777777" w:rsidR="00FE681A" w:rsidRPr="00FE681A" w:rsidRDefault="00FE681A" w:rsidP="00FE681A">
      <w:pPr>
        <w:numPr>
          <w:ilvl w:val="0"/>
          <w:numId w:val="5"/>
        </w:numPr>
      </w:pPr>
      <w:r w:rsidRPr="00FE681A">
        <w:rPr>
          <w:b/>
          <w:bCs/>
        </w:rPr>
        <w:t>Neurological Severity Scores:</w:t>
      </w:r>
    </w:p>
    <w:p w14:paraId="44C2AB5F" w14:textId="77777777" w:rsidR="00FE681A" w:rsidRPr="00FE681A" w:rsidRDefault="00FE681A" w:rsidP="00FE681A">
      <w:pPr>
        <w:numPr>
          <w:ilvl w:val="1"/>
          <w:numId w:val="5"/>
        </w:numPr>
      </w:pPr>
      <w:r w:rsidRPr="00FE681A">
        <w:t xml:space="preserve">Mean </w:t>
      </w:r>
      <w:r w:rsidRPr="00FE681A">
        <w:rPr>
          <w:b/>
          <w:bCs/>
        </w:rPr>
        <w:t>GMFCS</w:t>
      </w:r>
      <w:r w:rsidRPr="00FE681A">
        <w:t>: 1.77 ± 0.95</w:t>
      </w:r>
    </w:p>
    <w:p w14:paraId="7B3542FC" w14:textId="77777777" w:rsidR="00FE681A" w:rsidRPr="00FE681A" w:rsidRDefault="00FE681A" w:rsidP="00FE681A">
      <w:pPr>
        <w:numPr>
          <w:ilvl w:val="1"/>
          <w:numId w:val="5"/>
        </w:numPr>
      </w:pPr>
      <w:r w:rsidRPr="00FE681A">
        <w:t xml:space="preserve">Mean </w:t>
      </w:r>
      <w:r w:rsidRPr="00FE681A">
        <w:rPr>
          <w:b/>
          <w:bCs/>
        </w:rPr>
        <w:t>Paroxysmal Disability Index</w:t>
      </w:r>
      <w:r w:rsidRPr="00FE681A">
        <w:t>: 12.86 ± 4.68</w:t>
      </w:r>
    </w:p>
    <w:p w14:paraId="4557B7D4" w14:textId="77777777" w:rsidR="00FE681A" w:rsidRPr="00FE681A" w:rsidRDefault="00FE681A" w:rsidP="00FE681A">
      <w:pPr>
        <w:numPr>
          <w:ilvl w:val="1"/>
          <w:numId w:val="5"/>
        </w:numPr>
      </w:pPr>
      <w:r w:rsidRPr="00FE681A">
        <w:t xml:space="preserve">Mean </w:t>
      </w:r>
      <w:r w:rsidRPr="00FE681A">
        <w:rPr>
          <w:b/>
          <w:bCs/>
        </w:rPr>
        <w:t>Non-Paroxysmal Disability Index</w:t>
      </w:r>
      <w:r w:rsidRPr="00FE681A">
        <w:t>: 5.39 ± 3.08</w:t>
      </w:r>
    </w:p>
    <w:p w14:paraId="51342AA3" w14:textId="77777777" w:rsidR="00FE681A" w:rsidRPr="00FE681A" w:rsidRDefault="00FE681A" w:rsidP="00FE681A">
      <w:r w:rsidRPr="00FE681A">
        <w:pict w14:anchorId="7F03098C">
          <v:rect id="_x0000_i1076" style="width:0;height:1.5pt" o:hralign="center" o:hrstd="t" o:hr="t" fillcolor="#a0a0a0" stroked="f"/>
        </w:pict>
      </w:r>
    </w:p>
    <w:p w14:paraId="59549B43" w14:textId="77777777" w:rsidR="00FE681A" w:rsidRPr="00FE681A" w:rsidRDefault="00FE681A" w:rsidP="00FE681A">
      <w:pPr>
        <w:rPr>
          <w:b/>
          <w:bCs/>
        </w:rPr>
      </w:pPr>
      <w:r w:rsidRPr="00FE681A">
        <w:rPr>
          <w:b/>
          <w:bCs/>
        </w:rPr>
        <w:t>3.2 Prevalence and Types of GI Symptoms</w:t>
      </w:r>
    </w:p>
    <w:p w14:paraId="1DD53056" w14:textId="77777777" w:rsidR="00FE681A" w:rsidRPr="00FE681A" w:rsidRDefault="00FE681A" w:rsidP="00FE681A">
      <w:r w:rsidRPr="00FE681A">
        <w:t xml:space="preserve">A </w:t>
      </w:r>
      <w:r w:rsidRPr="00FE681A">
        <w:rPr>
          <w:b/>
          <w:bCs/>
        </w:rPr>
        <w:t>vast majority (93%) of patients (41/44)</w:t>
      </w:r>
      <w:r w:rsidRPr="00FE681A">
        <w:t xml:space="preserve"> had significant GI symptoms requiring medical attention. The most common symptoms included: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43"/>
        <w:gridCol w:w="1804"/>
      </w:tblGrid>
      <w:tr w:rsidR="00FE681A" w:rsidRPr="00FE681A" w14:paraId="54E943CB" w14:textId="77777777" w:rsidTr="00583095">
        <w:trPr>
          <w:trHeight w:val="779"/>
          <w:tblHeader/>
          <w:tblCellSpacing w:w="15" w:type="dxa"/>
        </w:trPr>
        <w:tc>
          <w:tcPr>
            <w:tcW w:w="4898" w:type="dxa"/>
            <w:vAlign w:val="center"/>
            <w:hideMark/>
          </w:tcPr>
          <w:p w14:paraId="16AC024D" w14:textId="77777777" w:rsidR="00FE681A" w:rsidRPr="00FE681A" w:rsidRDefault="00FE681A" w:rsidP="00FE681A">
            <w:pPr>
              <w:rPr>
                <w:b/>
                <w:bCs/>
              </w:rPr>
            </w:pPr>
            <w:r w:rsidRPr="00FE681A">
              <w:rPr>
                <w:b/>
                <w:bCs/>
              </w:rPr>
              <w:t>Symptom</w:t>
            </w:r>
          </w:p>
        </w:tc>
        <w:tc>
          <w:tcPr>
            <w:tcW w:w="1759" w:type="dxa"/>
            <w:vAlign w:val="center"/>
            <w:hideMark/>
          </w:tcPr>
          <w:p w14:paraId="5FE0FA25" w14:textId="77777777" w:rsidR="00FE681A" w:rsidRPr="00FE681A" w:rsidRDefault="00FE681A" w:rsidP="00FE681A">
            <w:pPr>
              <w:rPr>
                <w:b/>
                <w:bCs/>
              </w:rPr>
            </w:pPr>
            <w:r w:rsidRPr="00FE681A">
              <w:rPr>
                <w:b/>
                <w:bCs/>
              </w:rPr>
              <w:t>Prevalence (%)</w:t>
            </w:r>
          </w:p>
        </w:tc>
      </w:tr>
      <w:tr w:rsidR="00FE681A" w:rsidRPr="00FE681A" w14:paraId="490BE1DE" w14:textId="77777777" w:rsidTr="00583095">
        <w:trPr>
          <w:trHeight w:val="459"/>
          <w:tblCellSpacing w:w="15" w:type="dxa"/>
        </w:trPr>
        <w:tc>
          <w:tcPr>
            <w:tcW w:w="4898" w:type="dxa"/>
            <w:vAlign w:val="center"/>
            <w:hideMark/>
          </w:tcPr>
          <w:p w14:paraId="13DAA13C" w14:textId="77777777" w:rsidR="00FE681A" w:rsidRPr="00FE681A" w:rsidRDefault="00FE681A" w:rsidP="00FE681A">
            <w:r w:rsidRPr="00FE681A">
              <w:t>Constipation</w:t>
            </w:r>
          </w:p>
        </w:tc>
        <w:tc>
          <w:tcPr>
            <w:tcW w:w="1759" w:type="dxa"/>
            <w:vAlign w:val="center"/>
            <w:hideMark/>
          </w:tcPr>
          <w:p w14:paraId="45683025" w14:textId="77777777" w:rsidR="00FE681A" w:rsidRPr="00FE681A" w:rsidRDefault="00FE681A" w:rsidP="00FE681A">
            <w:r w:rsidRPr="00FE681A">
              <w:t>66% (27/41)</w:t>
            </w:r>
          </w:p>
        </w:tc>
      </w:tr>
      <w:tr w:rsidR="00FE681A" w:rsidRPr="00FE681A" w14:paraId="56754812" w14:textId="77777777" w:rsidTr="00583095">
        <w:trPr>
          <w:trHeight w:val="459"/>
          <w:tblCellSpacing w:w="15" w:type="dxa"/>
        </w:trPr>
        <w:tc>
          <w:tcPr>
            <w:tcW w:w="4898" w:type="dxa"/>
            <w:vAlign w:val="center"/>
            <w:hideMark/>
          </w:tcPr>
          <w:p w14:paraId="67E4E719" w14:textId="77777777" w:rsidR="00FE681A" w:rsidRPr="00FE681A" w:rsidRDefault="00FE681A" w:rsidP="00FE681A">
            <w:r w:rsidRPr="00FE681A">
              <w:t>Swallowing problems (dysphagia)</w:t>
            </w:r>
          </w:p>
        </w:tc>
        <w:tc>
          <w:tcPr>
            <w:tcW w:w="1759" w:type="dxa"/>
            <w:vAlign w:val="center"/>
            <w:hideMark/>
          </w:tcPr>
          <w:p w14:paraId="5382A809" w14:textId="77777777" w:rsidR="00FE681A" w:rsidRPr="00FE681A" w:rsidRDefault="00FE681A" w:rsidP="00FE681A">
            <w:r w:rsidRPr="00FE681A">
              <w:t>63% (26/41)</w:t>
            </w:r>
          </w:p>
        </w:tc>
      </w:tr>
      <w:tr w:rsidR="00FE681A" w:rsidRPr="00FE681A" w14:paraId="5F4B7660" w14:textId="77777777" w:rsidTr="00583095">
        <w:trPr>
          <w:trHeight w:val="472"/>
          <w:tblCellSpacing w:w="15" w:type="dxa"/>
        </w:trPr>
        <w:tc>
          <w:tcPr>
            <w:tcW w:w="4898" w:type="dxa"/>
            <w:vAlign w:val="center"/>
            <w:hideMark/>
          </w:tcPr>
          <w:p w14:paraId="6C5ABC78" w14:textId="77777777" w:rsidR="00FE681A" w:rsidRPr="00FE681A" w:rsidRDefault="00FE681A" w:rsidP="00FE681A">
            <w:r w:rsidRPr="00FE681A">
              <w:t>Vomiting</w:t>
            </w:r>
          </w:p>
        </w:tc>
        <w:tc>
          <w:tcPr>
            <w:tcW w:w="1759" w:type="dxa"/>
            <w:vAlign w:val="center"/>
            <w:hideMark/>
          </w:tcPr>
          <w:p w14:paraId="6FFD30F1" w14:textId="77777777" w:rsidR="00FE681A" w:rsidRPr="00FE681A" w:rsidRDefault="00FE681A" w:rsidP="00FE681A">
            <w:r w:rsidRPr="00FE681A">
              <w:t>63% (26/41)</w:t>
            </w:r>
          </w:p>
        </w:tc>
      </w:tr>
      <w:tr w:rsidR="00FE681A" w:rsidRPr="00FE681A" w14:paraId="04BD7327" w14:textId="77777777" w:rsidTr="00583095">
        <w:trPr>
          <w:trHeight w:val="459"/>
          <w:tblCellSpacing w:w="15" w:type="dxa"/>
        </w:trPr>
        <w:tc>
          <w:tcPr>
            <w:tcW w:w="4898" w:type="dxa"/>
            <w:vAlign w:val="center"/>
            <w:hideMark/>
          </w:tcPr>
          <w:p w14:paraId="6D091F35" w14:textId="77777777" w:rsidR="00FE681A" w:rsidRPr="00FE681A" w:rsidRDefault="00FE681A" w:rsidP="00FE681A">
            <w:r w:rsidRPr="00FE681A">
              <w:t>Anorexia (weight loss, failure to thrive)</w:t>
            </w:r>
          </w:p>
        </w:tc>
        <w:tc>
          <w:tcPr>
            <w:tcW w:w="1759" w:type="dxa"/>
            <w:vAlign w:val="center"/>
            <w:hideMark/>
          </w:tcPr>
          <w:p w14:paraId="11FF2865" w14:textId="77777777" w:rsidR="00FE681A" w:rsidRPr="00FE681A" w:rsidRDefault="00FE681A" w:rsidP="00FE681A">
            <w:r w:rsidRPr="00FE681A">
              <w:t>46% (19/41)</w:t>
            </w:r>
          </w:p>
        </w:tc>
      </w:tr>
      <w:tr w:rsidR="00FE681A" w:rsidRPr="00FE681A" w14:paraId="1C5A634B" w14:textId="77777777" w:rsidTr="00583095">
        <w:trPr>
          <w:trHeight w:val="459"/>
          <w:tblCellSpacing w:w="15" w:type="dxa"/>
        </w:trPr>
        <w:tc>
          <w:tcPr>
            <w:tcW w:w="4898" w:type="dxa"/>
            <w:vAlign w:val="center"/>
            <w:hideMark/>
          </w:tcPr>
          <w:p w14:paraId="72F74514" w14:textId="77777777" w:rsidR="00FE681A" w:rsidRPr="00FE681A" w:rsidRDefault="00FE681A" w:rsidP="00FE681A">
            <w:r w:rsidRPr="00FE681A">
              <w:t>Diarrhea</w:t>
            </w:r>
          </w:p>
        </w:tc>
        <w:tc>
          <w:tcPr>
            <w:tcW w:w="1759" w:type="dxa"/>
            <w:vAlign w:val="center"/>
            <w:hideMark/>
          </w:tcPr>
          <w:p w14:paraId="13220D06" w14:textId="77777777" w:rsidR="00FE681A" w:rsidRPr="00FE681A" w:rsidRDefault="00FE681A" w:rsidP="00FE681A">
            <w:r w:rsidRPr="00FE681A">
              <w:t>44% (18/41)</w:t>
            </w:r>
          </w:p>
        </w:tc>
      </w:tr>
      <w:tr w:rsidR="00FE681A" w:rsidRPr="00FE681A" w14:paraId="5129A5E5" w14:textId="77777777" w:rsidTr="00583095">
        <w:trPr>
          <w:trHeight w:val="472"/>
          <w:tblCellSpacing w:w="15" w:type="dxa"/>
        </w:trPr>
        <w:tc>
          <w:tcPr>
            <w:tcW w:w="4898" w:type="dxa"/>
            <w:vAlign w:val="center"/>
            <w:hideMark/>
          </w:tcPr>
          <w:p w14:paraId="529FEBFE" w14:textId="77777777" w:rsidR="00FE681A" w:rsidRPr="00FE681A" w:rsidRDefault="00FE681A" w:rsidP="00FE681A">
            <w:r w:rsidRPr="00FE681A">
              <w:t>Nausea</w:t>
            </w:r>
          </w:p>
        </w:tc>
        <w:tc>
          <w:tcPr>
            <w:tcW w:w="1759" w:type="dxa"/>
            <w:vAlign w:val="center"/>
            <w:hideMark/>
          </w:tcPr>
          <w:p w14:paraId="5C2D4E82" w14:textId="77777777" w:rsidR="00FE681A" w:rsidRPr="00FE681A" w:rsidRDefault="00FE681A" w:rsidP="00FE681A">
            <w:r w:rsidRPr="00FE681A">
              <w:t>37% (15/41)</w:t>
            </w:r>
          </w:p>
        </w:tc>
      </w:tr>
      <w:tr w:rsidR="00FE681A" w:rsidRPr="00FE681A" w14:paraId="61143CF1" w14:textId="77777777" w:rsidTr="00583095">
        <w:trPr>
          <w:trHeight w:val="459"/>
          <w:tblCellSpacing w:w="15" w:type="dxa"/>
        </w:trPr>
        <w:tc>
          <w:tcPr>
            <w:tcW w:w="4898" w:type="dxa"/>
            <w:vAlign w:val="center"/>
            <w:hideMark/>
          </w:tcPr>
          <w:p w14:paraId="45CE25C5" w14:textId="77777777" w:rsidR="00FE681A" w:rsidRPr="00FE681A" w:rsidRDefault="00FE681A" w:rsidP="00FE681A">
            <w:r w:rsidRPr="00FE681A">
              <w:t>Abdominal pain</w:t>
            </w:r>
          </w:p>
        </w:tc>
        <w:tc>
          <w:tcPr>
            <w:tcW w:w="1759" w:type="dxa"/>
            <w:vAlign w:val="center"/>
            <w:hideMark/>
          </w:tcPr>
          <w:p w14:paraId="108BDFC5" w14:textId="77777777" w:rsidR="00FE681A" w:rsidRPr="00FE681A" w:rsidRDefault="00FE681A" w:rsidP="00FE681A">
            <w:r w:rsidRPr="00FE681A">
              <w:t>22% (9/41)</w:t>
            </w:r>
          </w:p>
        </w:tc>
      </w:tr>
    </w:tbl>
    <w:p w14:paraId="73A1E57B" w14:textId="77777777" w:rsidR="00B40238" w:rsidRPr="00B40238" w:rsidRDefault="00B40238" w:rsidP="00B40238">
      <w:pPr>
        <w:ind w:left="720"/>
      </w:pPr>
    </w:p>
    <w:p w14:paraId="6072C21D" w14:textId="11F4B3C9" w:rsidR="00FE681A" w:rsidRPr="00FE681A" w:rsidRDefault="00FE681A" w:rsidP="00FE681A">
      <w:pPr>
        <w:numPr>
          <w:ilvl w:val="0"/>
          <w:numId w:val="6"/>
        </w:numPr>
      </w:pPr>
      <w:r w:rsidRPr="00FE681A">
        <w:rPr>
          <w:b/>
          <w:bCs/>
        </w:rPr>
        <w:t>GI dysmotility</w:t>
      </w:r>
      <w:r w:rsidRPr="00FE681A">
        <w:t xml:space="preserve"> (abnormal movement of the digestive tract) was seen in </w:t>
      </w:r>
      <w:r w:rsidRPr="00FE681A">
        <w:rPr>
          <w:b/>
          <w:bCs/>
        </w:rPr>
        <w:t>80%</w:t>
      </w:r>
      <w:r w:rsidRPr="00FE681A">
        <w:t xml:space="preserve"> of patients.</w:t>
      </w:r>
    </w:p>
    <w:p w14:paraId="2D8DC733" w14:textId="77777777" w:rsidR="00FE681A" w:rsidRPr="00FE681A" w:rsidRDefault="00FE681A" w:rsidP="00FE681A">
      <w:pPr>
        <w:numPr>
          <w:ilvl w:val="0"/>
          <w:numId w:val="6"/>
        </w:numPr>
      </w:pPr>
      <w:r w:rsidRPr="00FE681A">
        <w:rPr>
          <w:b/>
          <w:bCs/>
        </w:rPr>
        <w:t>Gastroesophageal reflux disease (GERD)</w:t>
      </w:r>
      <w:r w:rsidRPr="00FE681A">
        <w:t xml:space="preserve"> was </w:t>
      </w:r>
      <w:proofErr w:type="gramStart"/>
      <w:r w:rsidRPr="00FE681A">
        <w:t>diagnosed in</w:t>
      </w:r>
      <w:proofErr w:type="gramEnd"/>
      <w:r w:rsidRPr="00FE681A">
        <w:t xml:space="preserve"> </w:t>
      </w:r>
      <w:r w:rsidRPr="00FE681A">
        <w:rPr>
          <w:b/>
          <w:bCs/>
        </w:rPr>
        <w:t>63%</w:t>
      </w:r>
      <w:r w:rsidRPr="00FE681A">
        <w:t>.</w:t>
      </w:r>
    </w:p>
    <w:p w14:paraId="331FC240" w14:textId="77777777" w:rsidR="00FE681A" w:rsidRPr="00FE681A" w:rsidRDefault="00FE681A" w:rsidP="00FE681A">
      <w:pPr>
        <w:numPr>
          <w:ilvl w:val="0"/>
          <w:numId w:val="6"/>
        </w:numPr>
      </w:pPr>
      <w:r w:rsidRPr="00FE681A">
        <w:rPr>
          <w:b/>
          <w:bCs/>
        </w:rPr>
        <w:t>16 patients (39%) required a gastrostomy tube (G-tube)</w:t>
      </w:r>
      <w:r w:rsidRPr="00FE681A">
        <w:t xml:space="preserve"> for feeding.</w:t>
      </w:r>
    </w:p>
    <w:p w14:paraId="646BD91B" w14:textId="77777777" w:rsidR="00FE681A" w:rsidRPr="00FE681A" w:rsidRDefault="00FE681A" w:rsidP="00FE681A">
      <w:pPr>
        <w:numPr>
          <w:ilvl w:val="0"/>
          <w:numId w:val="6"/>
        </w:numPr>
      </w:pPr>
      <w:r w:rsidRPr="00FE681A">
        <w:rPr>
          <w:b/>
          <w:bCs/>
        </w:rPr>
        <w:t>Two patients required Nissen fundoplication</w:t>
      </w:r>
      <w:r w:rsidRPr="00FE681A">
        <w:t xml:space="preserve"> (surgical procedure for GERD).</w:t>
      </w:r>
    </w:p>
    <w:p w14:paraId="1874C211" w14:textId="77777777" w:rsidR="00FE681A" w:rsidRPr="00FE681A" w:rsidRDefault="00FE681A" w:rsidP="00FE681A">
      <w:r w:rsidRPr="00FE681A">
        <w:lastRenderedPageBreak/>
        <w:pict w14:anchorId="3292489B">
          <v:rect id="_x0000_i1077" style="width:0;height:1.5pt" o:hralign="center" o:hrstd="t" o:hr="t" fillcolor="#a0a0a0" stroked="f"/>
        </w:pict>
      </w:r>
    </w:p>
    <w:p w14:paraId="5245D72C" w14:textId="77777777" w:rsidR="00FE681A" w:rsidRPr="00FE681A" w:rsidRDefault="00FE681A" w:rsidP="00FE681A">
      <w:pPr>
        <w:rPr>
          <w:b/>
          <w:bCs/>
        </w:rPr>
      </w:pPr>
      <w:r w:rsidRPr="00FE681A">
        <w:rPr>
          <w:b/>
          <w:bCs/>
        </w:rPr>
        <w:t>3.3 Correlation with Neurological Impairments</w:t>
      </w:r>
    </w:p>
    <w:p w14:paraId="5C5C9A62" w14:textId="77777777" w:rsidR="00FE681A" w:rsidRPr="00FE681A" w:rsidRDefault="00FE681A" w:rsidP="00FE681A">
      <w:pPr>
        <w:numPr>
          <w:ilvl w:val="0"/>
          <w:numId w:val="7"/>
        </w:numPr>
      </w:pPr>
      <w:r w:rsidRPr="00FE681A">
        <w:rPr>
          <w:b/>
          <w:bCs/>
        </w:rPr>
        <w:t>GI symptom severity significantly correlated with:</w:t>
      </w:r>
    </w:p>
    <w:p w14:paraId="679B94EA" w14:textId="77777777" w:rsidR="00FE681A" w:rsidRPr="00FE681A" w:rsidRDefault="00FE681A" w:rsidP="00FE681A">
      <w:pPr>
        <w:numPr>
          <w:ilvl w:val="1"/>
          <w:numId w:val="7"/>
        </w:numPr>
      </w:pPr>
      <w:r w:rsidRPr="00FE681A">
        <w:rPr>
          <w:b/>
          <w:bCs/>
        </w:rPr>
        <w:t>Non-Paroxysmal Disability Index (p = 0.031)</w:t>
      </w:r>
    </w:p>
    <w:p w14:paraId="56ACC3C0" w14:textId="77777777" w:rsidR="00FE681A" w:rsidRPr="00FE681A" w:rsidRDefault="00FE681A" w:rsidP="00FE681A">
      <w:pPr>
        <w:numPr>
          <w:ilvl w:val="1"/>
          <w:numId w:val="7"/>
        </w:numPr>
      </w:pPr>
      <w:r w:rsidRPr="00FE681A">
        <w:rPr>
          <w:b/>
          <w:bCs/>
        </w:rPr>
        <w:t>Gross Motor Function Classification System (p = 0.043)</w:t>
      </w:r>
    </w:p>
    <w:p w14:paraId="3CDE886C" w14:textId="77777777" w:rsidR="00FE681A" w:rsidRPr="00FE681A" w:rsidRDefault="00FE681A" w:rsidP="00FE681A">
      <w:pPr>
        <w:numPr>
          <w:ilvl w:val="1"/>
          <w:numId w:val="7"/>
        </w:numPr>
      </w:pPr>
      <w:r w:rsidRPr="00FE681A">
        <w:rPr>
          <w:b/>
          <w:bCs/>
        </w:rPr>
        <w:t>Presence of non-GI autonomic dysfunction (p = 0.0166)</w:t>
      </w:r>
    </w:p>
    <w:p w14:paraId="402471C0" w14:textId="77777777" w:rsidR="00FE681A" w:rsidRPr="00FE681A" w:rsidRDefault="00FE681A" w:rsidP="00FE681A">
      <w:pPr>
        <w:numPr>
          <w:ilvl w:val="0"/>
          <w:numId w:val="7"/>
        </w:numPr>
      </w:pPr>
      <w:r w:rsidRPr="00FE681A">
        <w:rPr>
          <w:b/>
          <w:bCs/>
        </w:rPr>
        <w:t>No significant correlation</w:t>
      </w:r>
      <w:r w:rsidRPr="00FE681A">
        <w:t xml:space="preserve"> was found between </w:t>
      </w:r>
      <w:r w:rsidRPr="00FE681A">
        <w:rPr>
          <w:b/>
          <w:bCs/>
        </w:rPr>
        <w:t>GI severity and Paroxysmal Disability Index</w:t>
      </w:r>
      <w:r w:rsidRPr="00FE681A">
        <w:t xml:space="preserve"> (p = 0.408).</w:t>
      </w:r>
    </w:p>
    <w:p w14:paraId="512C9669" w14:textId="77777777" w:rsidR="00FE681A" w:rsidRPr="00FE681A" w:rsidRDefault="00FE681A" w:rsidP="00FE681A">
      <w:r w:rsidRPr="00FE681A">
        <w:t xml:space="preserve">This suggests that </w:t>
      </w:r>
      <w:r w:rsidRPr="00FE681A">
        <w:rPr>
          <w:b/>
          <w:bCs/>
        </w:rPr>
        <w:t>GI symptoms are more related to long-term neurological impairments (e.g., motor and cognitive issues) rather than the frequency of hemiplegic attacks</w:t>
      </w:r>
      <w:r w:rsidRPr="00FE681A">
        <w:t>.</w:t>
      </w:r>
    </w:p>
    <w:p w14:paraId="369314CF" w14:textId="77777777" w:rsidR="00FE681A" w:rsidRPr="00FE681A" w:rsidRDefault="00FE681A" w:rsidP="00FE681A">
      <w:r w:rsidRPr="00FE681A">
        <w:pict w14:anchorId="30F828D1">
          <v:rect id="_x0000_i1078" style="width:0;height:1.5pt" o:hralign="center" o:hrstd="t" o:hr="t" fillcolor="#a0a0a0" stroked="f"/>
        </w:pict>
      </w:r>
    </w:p>
    <w:p w14:paraId="43921ACC" w14:textId="77777777" w:rsidR="00FE681A" w:rsidRPr="00FE681A" w:rsidRDefault="00FE681A" w:rsidP="00FE681A">
      <w:pPr>
        <w:rPr>
          <w:b/>
          <w:bCs/>
        </w:rPr>
      </w:pPr>
      <w:r w:rsidRPr="00FE681A">
        <w:rPr>
          <w:b/>
          <w:bCs/>
        </w:rPr>
        <w:t>4. Discussion</w:t>
      </w:r>
    </w:p>
    <w:p w14:paraId="571AD688" w14:textId="77777777" w:rsidR="00FE681A" w:rsidRPr="00FE681A" w:rsidRDefault="00FE681A" w:rsidP="00FE681A">
      <w:pPr>
        <w:numPr>
          <w:ilvl w:val="0"/>
          <w:numId w:val="8"/>
        </w:numPr>
      </w:pPr>
      <w:r w:rsidRPr="00FE681A">
        <w:rPr>
          <w:b/>
          <w:bCs/>
        </w:rPr>
        <w:t>GI symptoms are a major source of morbidity in AHC, comparable to other neurological disorders such as cerebral palsy.</w:t>
      </w:r>
    </w:p>
    <w:p w14:paraId="3BA4F1C1" w14:textId="77777777" w:rsidR="00FE681A" w:rsidRPr="00FE681A" w:rsidRDefault="00FE681A" w:rsidP="00FE681A">
      <w:pPr>
        <w:numPr>
          <w:ilvl w:val="0"/>
          <w:numId w:val="8"/>
        </w:numPr>
      </w:pPr>
      <w:r w:rsidRPr="00FE681A">
        <w:rPr>
          <w:b/>
          <w:bCs/>
        </w:rPr>
        <w:t>Pathophysiology:</w:t>
      </w:r>
    </w:p>
    <w:p w14:paraId="41DB447E" w14:textId="77777777" w:rsidR="00FE681A" w:rsidRPr="00FE681A" w:rsidRDefault="00FE681A" w:rsidP="00FE681A">
      <w:pPr>
        <w:numPr>
          <w:ilvl w:val="1"/>
          <w:numId w:val="8"/>
        </w:numPr>
      </w:pPr>
      <w:r w:rsidRPr="00FE681A">
        <w:t xml:space="preserve">The </w:t>
      </w:r>
      <w:r w:rsidRPr="00FE681A">
        <w:rPr>
          <w:i/>
          <w:iCs/>
        </w:rPr>
        <w:t>ATP1A3</w:t>
      </w:r>
      <w:r w:rsidRPr="00FE681A">
        <w:t xml:space="preserve"> gene is highly expressed in brain regions that regulate GI motility (e.g., hypothalamus, </w:t>
      </w:r>
      <w:proofErr w:type="spellStart"/>
      <w:r w:rsidRPr="00FE681A">
        <w:t>vagus</w:t>
      </w:r>
      <w:proofErr w:type="spellEnd"/>
      <w:r w:rsidRPr="00FE681A">
        <w:t xml:space="preserve"> nerve).</w:t>
      </w:r>
    </w:p>
    <w:p w14:paraId="13DF6546" w14:textId="77777777" w:rsidR="00FE681A" w:rsidRPr="00FE681A" w:rsidRDefault="00FE681A" w:rsidP="00FE681A">
      <w:pPr>
        <w:numPr>
          <w:ilvl w:val="1"/>
          <w:numId w:val="8"/>
        </w:numPr>
      </w:pPr>
      <w:r w:rsidRPr="00FE681A">
        <w:t xml:space="preserve">Dysregulation of </w:t>
      </w:r>
      <w:r w:rsidRPr="00FE681A">
        <w:rPr>
          <w:b/>
          <w:bCs/>
        </w:rPr>
        <w:t>GABAergic function</w:t>
      </w:r>
      <w:r w:rsidRPr="00FE681A">
        <w:t xml:space="preserve"> and cerebellar dysfunction may also contribute to GI symptoms.</w:t>
      </w:r>
    </w:p>
    <w:p w14:paraId="7C3CFD8D" w14:textId="77777777" w:rsidR="00FE681A" w:rsidRPr="00FE681A" w:rsidRDefault="00FE681A" w:rsidP="00FE681A">
      <w:pPr>
        <w:numPr>
          <w:ilvl w:val="0"/>
          <w:numId w:val="8"/>
        </w:numPr>
      </w:pPr>
      <w:r w:rsidRPr="00FE681A">
        <w:rPr>
          <w:b/>
          <w:bCs/>
        </w:rPr>
        <w:t>Clinical Implications:</w:t>
      </w:r>
    </w:p>
    <w:p w14:paraId="4AD8033B" w14:textId="77777777" w:rsidR="00FE681A" w:rsidRPr="00FE681A" w:rsidRDefault="00FE681A" w:rsidP="00FE681A">
      <w:pPr>
        <w:numPr>
          <w:ilvl w:val="1"/>
          <w:numId w:val="8"/>
        </w:numPr>
      </w:pPr>
      <w:r w:rsidRPr="00FE681A">
        <w:t xml:space="preserve">GI issues are often </w:t>
      </w:r>
      <w:r w:rsidRPr="00FE681A">
        <w:rPr>
          <w:b/>
          <w:bCs/>
        </w:rPr>
        <w:t>under-recognized</w:t>
      </w:r>
      <w:r w:rsidRPr="00FE681A">
        <w:t xml:space="preserve"> in AHC but require proactive management.</w:t>
      </w:r>
    </w:p>
    <w:p w14:paraId="5C00D5C2" w14:textId="77777777" w:rsidR="00FE681A" w:rsidRPr="00FE681A" w:rsidRDefault="00FE681A" w:rsidP="00FE681A">
      <w:pPr>
        <w:numPr>
          <w:ilvl w:val="1"/>
          <w:numId w:val="8"/>
        </w:numPr>
      </w:pPr>
      <w:r w:rsidRPr="00FE681A">
        <w:rPr>
          <w:b/>
          <w:bCs/>
        </w:rPr>
        <w:t>Multidisciplinary care</w:t>
      </w:r>
      <w:r w:rsidRPr="00FE681A">
        <w:t xml:space="preserve"> (neurologists, gastroenterologists, dietitians) is essential.</w:t>
      </w:r>
    </w:p>
    <w:p w14:paraId="27155FD3" w14:textId="77777777" w:rsidR="00FE681A" w:rsidRPr="00FE681A" w:rsidRDefault="00FE681A" w:rsidP="00FE681A">
      <w:pPr>
        <w:numPr>
          <w:ilvl w:val="1"/>
          <w:numId w:val="8"/>
        </w:numPr>
      </w:pPr>
      <w:r w:rsidRPr="00FE681A">
        <w:t xml:space="preserve">Addressing </w:t>
      </w:r>
      <w:r w:rsidRPr="00FE681A">
        <w:rPr>
          <w:b/>
          <w:bCs/>
        </w:rPr>
        <w:t>malnutrition and dehydration</w:t>
      </w:r>
      <w:r w:rsidRPr="00FE681A">
        <w:t xml:space="preserve"> can improve neurological outcomes and reduce complications.</w:t>
      </w:r>
    </w:p>
    <w:p w14:paraId="7A09EE27" w14:textId="77777777" w:rsidR="00FE681A" w:rsidRPr="00FE681A" w:rsidRDefault="00FE681A" w:rsidP="00FE681A">
      <w:r w:rsidRPr="00FE681A">
        <w:pict w14:anchorId="3B42B0D8">
          <v:rect id="_x0000_i1079" style="width:0;height:1.5pt" o:hralign="center" o:hrstd="t" o:hr="t" fillcolor="#a0a0a0" stroked="f"/>
        </w:pict>
      </w:r>
    </w:p>
    <w:p w14:paraId="6A023977" w14:textId="77777777" w:rsidR="00FE681A" w:rsidRPr="00FE681A" w:rsidRDefault="00FE681A" w:rsidP="00FE681A">
      <w:pPr>
        <w:rPr>
          <w:b/>
          <w:bCs/>
        </w:rPr>
      </w:pPr>
      <w:r w:rsidRPr="00FE681A">
        <w:rPr>
          <w:b/>
          <w:bCs/>
        </w:rPr>
        <w:t>5. Conclusions</w:t>
      </w:r>
    </w:p>
    <w:p w14:paraId="72636843" w14:textId="77777777" w:rsidR="00FE681A" w:rsidRPr="00FE681A" w:rsidRDefault="00FE681A" w:rsidP="00FE681A">
      <w:pPr>
        <w:numPr>
          <w:ilvl w:val="0"/>
          <w:numId w:val="9"/>
        </w:numPr>
      </w:pPr>
      <w:r w:rsidRPr="00FE681A">
        <w:rPr>
          <w:b/>
          <w:bCs/>
        </w:rPr>
        <w:t>GI problems are extremely common (93%) in AHC patients, often severe, and frequently require medical or surgical interventions.</w:t>
      </w:r>
    </w:p>
    <w:p w14:paraId="6AA3D0F7" w14:textId="77777777" w:rsidR="00FE681A" w:rsidRPr="00FE681A" w:rsidRDefault="00FE681A" w:rsidP="00FE681A">
      <w:pPr>
        <w:numPr>
          <w:ilvl w:val="0"/>
          <w:numId w:val="9"/>
        </w:numPr>
      </w:pPr>
      <w:r w:rsidRPr="00FE681A">
        <w:rPr>
          <w:b/>
          <w:bCs/>
        </w:rPr>
        <w:t>Severity of GI symptoms correlates with non-paroxysmal neurological impairments, not with episodic hemiplegic attacks.</w:t>
      </w:r>
    </w:p>
    <w:p w14:paraId="29949309" w14:textId="77777777" w:rsidR="00FE681A" w:rsidRPr="00FE681A" w:rsidRDefault="00FE681A" w:rsidP="00FE681A">
      <w:pPr>
        <w:numPr>
          <w:ilvl w:val="0"/>
          <w:numId w:val="9"/>
        </w:numPr>
      </w:pPr>
      <w:r w:rsidRPr="00FE681A">
        <w:rPr>
          <w:b/>
          <w:bCs/>
        </w:rPr>
        <w:t>Early diagnosis and intervention</w:t>
      </w:r>
      <w:r w:rsidRPr="00FE681A">
        <w:t xml:space="preserve"> (e.g., diet modifications, medication, feeding tubes) can improve quality of life.</w:t>
      </w:r>
    </w:p>
    <w:p w14:paraId="43D98B0C" w14:textId="77777777" w:rsidR="00FE681A" w:rsidRPr="00FE681A" w:rsidRDefault="00FE681A" w:rsidP="00FE681A">
      <w:pPr>
        <w:numPr>
          <w:ilvl w:val="0"/>
          <w:numId w:val="9"/>
        </w:numPr>
      </w:pPr>
      <w:r w:rsidRPr="00FE681A">
        <w:lastRenderedPageBreak/>
        <w:t xml:space="preserve">Future research should explore </w:t>
      </w:r>
      <w:r w:rsidRPr="00FE681A">
        <w:rPr>
          <w:b/>
          <w:bCs/>
        </w:rPr>
        <w:t>long-term GI management strategies</w:t>
      </w:r>
      <w:r w:rsidRPr="00FE681A">
        <w:t xml:space="preserve"> in AHC and their impact on neurological progression.</w:t>
      </w:r>
    </w:p>
    <w:p w14:paraId="0BB82FD7" w14:textId="77777777" w:rsidR="00FE681A" w:rsidRPr="00FE681A" w:rsidRDefault="00FE681A" w:rsidP="00FE681A">
      <w:r w:rsidRPr="00FE681A">
        <w:pict w14:anchorId="08871CEC">
          <v:rect id="_x0000_i1080" style="width:0;height:1.5pt" o:hralign="center" o:hrstd="t" o:hr="t" fillcolor="#a0a0a0" stroked="f"/>
        </w:pict>
      </w:r>
    </w:p>
    <w:p w14:paraId="341014D6" w14:textId="77777777" w:rsidR="00FE681A" w:rsidRPr="00FE681A" w:rsidRDefault="00FE681A" w:rsidP="00FE681A">
      <w:pPr>
        <w:rPr>
          <w:b/>
          <w:bCs/>
        </w:rPr>
      </w:pPr>
      <w:r w:rsidRPr="00FE681A">
        <w:rPr>
          <w:b/>
          <w:bCs/>
        </w:rPr>
        <w:t>6. Clinical Takeaways</w:t>
      </w:r>
    </w:p>
    <w:p w14:paraId="4B422D1A" w14:textId="77777777" w:rsidR="00FE681A" w:rsidRDefault="00FE681A" w:rsidP="00FE681A">
      <w:pPr>
        <w:pStyle w:val="ListParagraph"/>
        <w:numPr>
          <w:ilvl w:val="0"/>
          <w:numId w:val="10"/>
        </w:numPr>
      </w:pPr>
      <w:r w:rsidRPr="00FE681A">
        <w:t>Screen all AHC patients for GI issues.</w:t>
      </w:r>
    </w:p>
    <w:p w14:paraId="5C42A177" w14:textId="77777777" w:rsidR="00FE681A" w:rsidRDefault="00FE681A" w:rsidP="00FE681A">
      <w:pPr>
        <w:pStyle w:val="ListParagraph"/>
        <w:numPr>
          <w:ilvl w:val="0"/>
          <w:numId w:val="10"/>
        </w:numPr>
      </w:pPr>
      <w:r w:rsidRPr="00FE681A">
        <w:t>Early intervention (diet, medications, feeding support) is key.</w:t>
      </w:r>
    </w:p>
    <w:p w14:paraId="1CB4E547" w14:textId="77777777" w:rsidR="00FE681A" w:rsidRDefault="00FE681A" w:rsidP="00FE681A">
      <w:pPr>
        <w:pStyle w:val="ListParagraph"/>
        <w:numPr>
          <w:ilvl w:val="0"/>
          <w:numId w:val="10"/>
        </w:numPr>
      </w:pPr>
      <w:proofErr w:type="gramStart"/>
      <w:r w:rsidRPr="00FE681A">
        <w:t>Multidisciplinary</w:t>
      </w:r>
      <w:proofErr w:type="gramEnd"/>
      <w:r w:rsidRPr="00FE681A">
        <w:t xml:space="preserve"> care approach is necessary.</w:t>
      </w:r>
    </w:p>
    <w:p w14:paraId="67FC2564" w14:textId="47DA4C7B" w:rsidR="00FE681A" w:rsidRPr="00FE681A" w:rsidRDefault="00FE681A" w:rsidP="00FE681A">
      <w:pPr>
        <w:pStyle w:val="ListParagraph"/>
        <w:numPr>
          <w:ilvl w:val="0"/>
          <w:numId w:val="10"/>
        </w:numPr>
      </w:pPr>
      <w:r w:rsidRPr="00FE681A">
        <w:t>GI symptoms can exacerbate neurological problems – addressing them may help overall disease management.</w:t>
      </w:r>
    </w:p>
    <w:p w14:paraId="12DDDD58" w14:textId="77777777" w:rsidR="00BE7464" w:rsidRDefault="00BE7464"/>
    <w:sectPr w:rsidR="00BE7464" w:rsidSect="00D606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E22"/>
    <w:multiLevelType w:val="multilevel"/>
    <w:tmpl w:val="ACD27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362737"/>
    <w:multiLevelType w:val="multilevel"/>
    <w:tmpl w:val="68284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21B40"/>
    <w:multiLevelType w:val="multilevel"/>
    <w:tmpl w:val="3DB4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15B35"/>
    <w:multiLevelType w:val="multilevel"/>
    <w:tmpl w:val="B1324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2F051D"/>
    <w:multiLevelType w:val="multilevel"/>
    <w:tmpl w:val="CA140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C7330E"/>
    <w:multiLevelType w:val="multilevel"/>
    <w:tmpl w:val="AAC25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7B2D77"/>
    <w:multiLevelType w:val="multilevel"/>
    <w:tmpl w:val="DE645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002624"/>
    <w:multiLevelType w:val="multilevel"/>
    <w:tmpl w:val="C890E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D427D9"/>
    <w:multiLevelType w:val="multilevel"/>
    <w:tmpl w:val="F99C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0643C8"/>
    <w:multiLevelType w:val="hybridMultilevel"/>
    <w:tmpl w:val="37BEE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3051292">
    <w:abstractNumId w:val="5"/>
  </w:num>
  <w:num w:numId="2" w16cid:durableId="1676763559">
    <w:abstractNumId w:val="0"/>
  </w:num>
  <w:num w:numId="3" w16cid:durableId="1007563382">
    <w:abstractNumId w:val="3"/>
  </w:num>
  <w:num w:numId="4" w16cid:durableId="1819806110">
    <w:abstractNumId w:val="1"/>
  </w:num>
  <w:num w:numId="5" w16cid:durableId="950284394">
    <w:abstractNumId w:val="4"/>
  </w:num>
  <w:num w:numId="6" w16cid:durableId="475877606">
    <w:abstractNumId w:val="2"/>
  </w:num>
  <w:num w:numId="7" w16cid:durableId="859271768">
    <w:abstractNumId w:val="6"/>
  </w:num>
  <w:num w:numId="8" w16cid:durableId="727923291">
    <w:abstractNumId w:val="7"/>
  </w:num>
  <w:num w:numId="9" w16cid:durableId="1905874291">
    <w:abstractNumId w:val="8"/>
  </w:num>
  <w:num w:numId="10" w16cid:durableId="2518190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81A"/>
    <w:rsid w:val="003948CD"/>
    <w:rsid w:val="00583095"/>
    <w:rsid w:val="006121AE"/>
    <w:rsid w:val="006F45EE"/>
    <w:rsid w:val="00AE6F69"/>
    <w:rsid w:val="00B40238"/>
    <w:rsid w:val="00BE7464"/>
    <w:rsid w:val="00D4020C"/>
    <w:rsid w:val="00D606E5"/>
    <w:rsid w:val="00FE6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36AA3"/>
  <w15:chartTrackingRefBased/>
  <w15:docId w15:val="{993E80C8-9B69-43FB-9CF7-00202C6F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6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6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6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6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81A"/>
    <w:rPr>
      <w:rFonts w:eastAsiaTheme="majorEastAsia" w:cstheme="majorBidi"/>
      <w:color w:val="272727" w:themeColor="text1" w:themeTint="D8"/>
    </w:rPr>
  </w:style>
  <w:style w:type="paragraph" w:styleId="Title">
    <w:name w:val="Title"/>
    <w:basedOn w:val="Normal"/>
    <w:next w:val="Normal"/>
    <w:link w:val="TitleChar"/>
    <w:uiPriority w:val="10"/>
    <w:qFormat/>
    <w:rsid w:val="00FE6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81A"/>
    <w:pPr>
      <w:spacing w:before="160"/>
      <w:jc w:val="center"/>
    </w:pPr>
    <w:rPr>
      <w:i/>
      <w:iCs/>
      <w:color w:val="404040" w:themeColor="text1" w:themeTint="BF"/>
    </w:rPr>
  </w:style>
  <w:style w:type="character" w:customStyle="1" w:styleId="QuoteChar">
    <w:name w:val="Quote Char"/>
    <w:basedOn w:val="DefaultParagraphFont"/>
    <w:link w:val="Quote"/>
    <w:uiPriority w:val="29"/>
    <w:rsid w:val="00FE681A"/>
    <w:rPr>
      <w:i/>
      <w:iCs/>
      <w:color w:val="404040" w:themeColor="text1" w:themeTint="BF"/>
    </w:rPr>
  </w:style>
  <w:style w:type="paragraph" w:styleId="ListParagraph">
    <w:name w:val="List Paragraph"/>
    <w:basedOn w:val="Normal"/>
    <w:uiPriority w:val="34"/>
    <w:qFormat/>
    <w:rsid w:val="00FE681A"/>
    <w:pPr>
      <w:ind w:left="720"/>
      <w:contextualSpacing/>
    </w:pPr>
  </w:style>
  <w:style w:type="character" w:styleId="IntenseEmphasis">
    <w:name w:val="Intense Emphasis"/>
    <w:basedOn w:val="DefaultParagraphFont"/>
    <w:uiPriority w:val="21"/>
    <w:qFormat/>
    <w:rsid w:val="00FE681A"/>
    <w:rPr>
      <w:i/>
      <w:iCs/>
      <w:color w:val="0F4761" w:themeColor="accent1" w:themeShade="BF"/>
    </w:rPr>
  </w:style>
  <w:style w:type="paragraph" w:styleId="IntenseQuote">
    <w:name w:val="Intense Quote"/>
    <w:basedOn w:val="Normal"/>
    <w:next w:val="Normal"/>
    <w:link w:val="IntenseQuoteChar"/>
    <w:uiPriority w:val="30"/>
    <w:qFormat/>
    <w:rsid w:val="00FE6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81A"/>
    <w:rPr>
      <w:i/>
      <w:iCs/>
      <w:color w:val="0F4761" w:themeColor="accent1" w:themeShade="BF"/>
    </w:rPr>
  </w:style>
  <w:style w:type="character" w:styleId="IntenseReference">
    <w:name w:val="Intense Reference"/>
    <w:basedOn w:val="DefaultParagraphFont"/>
    <w:uiPriority w:val="32"/>
    <w:qFormat/>
    <w:rsid w:val="00FE681A"/>
    <w:rPr>
      <w:b/>
      <w:bCs/>
      <w:smallCaps/>
      <w:color w:val="0F4761" w:themeColor="accent1" w:themeShade="BF"/>
      <w:spacing w:val="5"/>
    </w:rPr>
  </w:style>
  <w:style w:type="character" w:styleId="Hyperlink">
    <w:name w:val="Hyperlink"/>
    <w:basedOn w:val="DefaultParagraphFont"/>
    <w:uiPriority w:val="99"/>
    <w:unhideWhenUsed/>
    <w:rsid w:val="00FE681A"/>
    <w:rPr>
      <w:color w:val="467886" w:themeColor="hyperlink"/>
      <w:u w:val="single"/>
    </w:rPr>
  </w:style>
  <w:style w:type="character" w:styleId="UnresolvedMention">
    <w:name w:val="Unresolved Mention"/>
    <w:basedOn w:val="DefaultParagraphFont"/>
    <w:uiPriority w:val="99"/>
    <w:semiHidden/>
    <w:unhideWhenUsed/>
    <w:rsid w:val="00FE6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082237">
      <w:bodyDiv w:val="1"/>
      <w:marLeft w:val="0"/>
      <w:marRight w:val="0"/>
      <w:marTop w:val="0"/>
      <w:marBottom w:val="0"/>
      <w:divBdr>
        <w:top w:val="none" w:sz="0" w:space="0" w:color="auto"/>
        <w:left w:val="none" w:sz="0" w:space="0" w:color="auto"/>
        <w:bottom w:val="none" w:sz="0" w:space="0" w:color="auto"/>
        <w:right w:val="none" w:sz="0" w:space="0" w:color="auto"/>
      </w:divBdr>
      <w:divsChild>
        <w:div w:id="1290893369">
          <w:marLeft w:val="0"/>
          <w:marRight w:val="0"/>
          <w:marTop w:val="0"/>
          <w:marBottom w:val="0"/>
          <w:divBdr>
            <w:top w:val="none" w:sz="0" w:space="0" w:color="auto"/>
            <w:left w:val="none" w:sz="0" w:space="0" w:color="auto"/>
            <w:bottom w:val="none" w:sz="0" w:space="0" w:color="auto"/>
            <w:right w:val="none" w:sz="0" w:space="0" w:color="auto"/>
          </w:divBdr>
          <w:divsChild>
            <w:div w:id="1838691727">
              <w:marLeft w:val="0"/>
              <w:marRight w:val="0"/>
              <w:marTop w:val="0"/>
              <w:marBottom w:val="0"/>
              <w:divBdr>
                <w:top w:val="none" w:sz="0" w:space="0" w:color="auto"/>
                <w:left w:val="none" w:sz="0" w:space="0" w:color="auto"/>
                <w:bottom w:val="none" w:sz="0" w:space="0" w:color="auto"/>
                <w:right w:val="none" w:sz="0" w:space="0" w:color="auto"/>
              </w:divBdr>
              <w:divsChild>
                <w:div w:id="795367126">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sChild>
                        <w:div w:id="1196621846">
                          <w:marLeft w:val="0"/>
                          <w:marRight w:val="0"/>
                          <w:marTop w:val="0"/>
                          <w:marBottom w:val="0"/>
                          <w:divBdr>
                            <w:top w:val="none" w:sz="0" w:space="0" w:color="auto"/>
                            <w:left w:val="none" w:sz="0" w:space="0" w:color="auto"/>
                            <w:bottom w:val="none" w:sz="0" w:space="0" w:color="auto"/>
                            <w:right w:val="none" w:sz="0" w:space="0" w:color="auto"/>
                          </w:divBdr>
                          <w:divsChild>
                            <w:div w:id="1592085541">
                              <w:marLeft w:val="0"/>
                              <w:marRight w:val="0"/>
                              <w:marTop w:val="0"/>
                              <w:marBottom w:val="0"/>
                              <w:divBdr>
                                <w:top w:val="none" w:sz="0" w:space="0" w:color="auto"/>
                                <w:left w:val="none" w:sz="0" w:space="0" w:color="auto"/>
                                <w:bottom w:val="none" w:sz="0" w:space="0" w:color="auto"/>
                                <w:right w:val="none" w:sz="0" w:space="0" w:color="auto"/>
                              </w:divBdr>
                              <w:divsChild>
                                <w:div w:id="2146578898">
                                  <w:marLeft w:val="0"/>
                                  <w:marRight w:val="0"/>
                                  <w:marTop w:val="0"/>
                                  <w:marBottom w:val="0"/>
                                  <w:divBdr>
                                    <w:top w:val="none" w:sz="0" w:space="0" w:color="auto"/>
                                    <w:left w:val="none" w:sz="0" w:space="0" w:color="auto"/>
                                    <w:bottom w:val="none" w:sz="0" w:space="0" w:color="auto"/>
                                    <w:right w:val="none" w:sz="0" w:space="0" w:color="auto"/>
                                  </w:divBdr>
                                  <w:divsChild>
                                    <w:div w:id="32335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51532">
                          <w:marLeft w:val="0"/>
                          <w:marRight w:val="0"/>
                          <w:marTop w:val="0"/>
                          <w:marBottom w:val="0"/>
                          <w:divBdr>
                            <w:top w:val="none" w:sz="0" w:space="0" w:color="auto"/>
                            <w:left w:val="none" w:sz="0" w:space="0" w:color="auto"/>
                            <w:bottom w:val="none" w:sz="0" w:space="0" w:color="auto"/>
                            <w:right w:val="none" w:sz="0" w:space="0" w:color="auto"/>
                          </w:divBdr>
                          <w:divsChild>
                            <w:div w:id="1907374391">
                              <w:marLeft w:val="0"/>
                              <w:marRight w:val="0"/>
                              <w:marTop w:val="0"/>
                              <w:marBottom w:val="0"/>
                              <w:divBdr>
                                <w:top w:val="none" w:sz="0" w:space="0" w:color="auto"/>
                                <w:left w:val="none" w:sz="0" w:space="0" w:color="auto"/>
                                <w:bottom w:val="none" w:sz="0" w:space="0" w:color="auto"/>
                                <w:right w:val="none" w:sz="0" w:space="0" w:color="auto"/>
                              </w:divBdr>
                              <w:divsChild>
                                <w:div w:id="1235698532">
                                  <w:marLeft w:val="0"/>
                                  <w:marRight w:val="0"/>
                                  <w:marTop w:val="0"/>
                                  <w:marBottom w:val="0"/>
                                  <w:divBdr>
                                    <w:top w:val="none" w:sz="0" w:space="0" w:color="auto"/>
                                    <w:left w:val="none" w:sz="0" w:space="0" w:color="auto"/>
                                    <w:bottom w:val="none" w:sz="0" w:space="0" w:color="auto"/>
                                    <w:right w:val="none" w:sz="0" w:space="0" w:color="auto"/>
                                  </w:divBdr>
                                  <w:divsChild>
                                    <w:div w:id="167873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0160511">
          <w:marLeft w:val="0"/>
          <w:marRight w:val="0"/>
          <w:marTop w:val="0"/>
          <w:marBottom w:val="0"/>
          <w:divBdr>
            <w:top w:val="none" w:sz="0" w:space="0" w:color="auto"/>
            <w:left w:val="none" w:sz="0" w:space="0" w:color="auto"/>
            <w:bottom w:val="none" w:sz="0" w:space="0" w:color="auto"/>
            <w:right w:val="none" w:sz="0" w:space="0" w:color="auto"/>
          </w:divBdr>
          <w:divsChild>
            <w:div w:id="1118258374">
              <w:marLeft w:val="0"/>
              <w:marRight w:val="0"/>
              <w:marTop w:val="0"/>
              <w:marBottom w:val="0"/>
              <w:divBdr>
                <w:top w:val="none" w:sz="0" w:space="0" w:color="auto"/>
                <w:left w:val="none" w:sz="0" w:space="0" w:color="auto"/>
                <w:bottom w:val="none" w:sz="0" w:space="0" w:color="auto"/>
                <w:right w:val="none" w:sz="0" w:space="0" w:color="auto"/>
              </w:divBdr>
              <w:divsChild>
                <w:div w:id="1135871408">
                  <w:marLeft w:val="0"/>
                  <w:marRight w:val="0"/>
                  <w:marTop w:val="0"/>
                  <w:marBottom w:val="0"/>
                  <w:divBdr>
                    <w:top w:val="none" w:sz="0" w:space="0" w:color="auto"/>
                    <w:left w:val="none" w:sz="0" w:space="0" w:color="auto"/>
                    <w:bottom w:val="none" w:sz="0" w:space="0" w:color="auto"/>
                    <w:right w:val="none" w:sz="0" w:space="0" w:color="auto"/>
                  </w:divBdr>
                  <w:divsChild>
                    <w:div w:id="364251368">
                      <w:marLeft w:val="0"/>
                      <w:marRight w:val="0"/>
                      <w:marTop w:val="0"/>
                      <w:marBottom w:val="0"/>
                      <w:divBdr>
                        <w:top w:val="none" w:sz="0" w:space="0" w:color="auto"/>
                        <w:left w:val="none" w:sz="0" w:space="0" w:color="auto"/>
                        <w:bottom w:val="none" w:sz="0" w:space="0" w:color="auto"/>
                        <w:right w:val="none" w:sz="0" w:space="0" w:color="auto"/>
                      </w:divBdr>
                      <w:divsChild>
                        <w:div w:id="850989548">
                          <w:marLeft w:val="0"/>
                          <w:marRight w:val="0"/>
                          <w:marTop w:val="0"/>
                          <w:marBottom w:val="0"/>
                          <w:divBdr>
                            <w:top w:val="none" w:sz="0" w:space="0" w:color="auto"/>
                            <w:left w:val="none" w:sz="0" w:space="0" w:color="auto"/>
                            <w:bottom w:val="none" w:sz="0" w:space="0" w:color="auto"/>
                            <w:right w:val="none" w:sz="0" w:space="0" w:color="auto"/>
                          </w:divBdr>
                          <w:divsChild>
                            <w:div w:id="1041784750">
                              <w:marLeft w:val="0"/>
                              <w:marRight w:val="0"/>
                              <w:marTop w:val="0"/>
                              <w:marBottom w:val="0"/>
                              <w:divBdr>
                                <w:top w:val="none" w:sz="0" w:space="0" w:color="auto"/>
                                <w:left w:val="none" w:sz="0" w:space="0" w:color="auto"/>
                                <w:bottom w:val="none" w:sz="0" w:space="0" w:color="auto"/>
                                <w:right w:val="none" w:sz="0" w:space="0" w:color="auto"/>
                              </w:divBdr>
                              <w:divsChild>
                                <w:div w:id="381053234">
                                  <w:marLeft w:val="0"/>
                                  <w:marRight w:val="0"/>
                                  <w:marTop w:val="0"/>
                                  <w:marBottom w:val="0"/>
                                  <w:divBdr>
                                    <w:top w:val="none" w:sz="0" w:space="0" w:color="auto"/>
                                    <w:left w:val="none" w:sz="0" w:space="0" w:color="auto"/>
                                    <w:bottom w:val="none" w:sz="0" w:space="0" w:color="auto"/>
                                    <w:right w:val="none" w:sz="0" w:space="0" w:color="auto"/>
                                  </w:divBdr>
                                  <w:divsChild>
                                    <w:div w:id="1319923216">
                                      <w:marLeft w:val="0"/>
                                      <w:marRight w:val="0"/>
                                      <w:marTop w:val="0"/>
                                      <w:marBottom w:val="0"/>
                                      <w:divBdr>
                                        <w:top w:val="none" w:sz="0" w:space="0" w:color="auto"/>
                                        <w:left w:val="none" w:sz="0" w:space="0" w:color="auto"/>
                                        <w:bottom w:val="none" w:sz="0" w:space="0" w:color="auto"/>
                                        <w:right w:val="none" w:sz="0" w:space="0" w:color="auto"/>
                                      </w:divBdr>
                                      <w:divsChild>
                                        <w:div w:id="14130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1715691">
          <w:marLeft w:val="0"/>
          <w:marRight w:val="0"/>
          <w:marTop w:val="0"/>
          <w:marBottom w:val="0"/>
          <w:divBdr>
            <w:top w:val="none" w:sz="0" w:space="0" w:color="auto"/>
            <w:left w:val="none" w:sz="0" w:space="0" w:color="auto"/>
            <w:bottom w:val="none" w:sz="0" w:space="0" w:color="auto"/>
            <w:right w:val="none" w:sz="0" w:space="0" w:color="auto"/>
          </w:divBdr>
          <w:divsChild>
            <w:div w:id="571042884">
              <w:marLeft w:val="0"/>
              <w:marRight w:val="0"/>
              <w:marTop w:val="0"/>
              <w:marBottom w:val="0"/>
              <w:divBdr>
                <w:top w:val="none" w:sz="0" w:space="0" w:color="auto"/>
                <w:left w:val="none" w:sz="0" w:space="0" w:color="auto"/>
                <w:bottom w:val="none" w:sz="0" w:space="0" w:color="auto"/>
                <w:right w:val="none" w:sz="0" w:space="0" w:color="auto"/>
              </w:divBdr>
              <w:divsChild>
                <w:div w:id="1889803504">
                  <w:marLeft w:val="0"/>
                  <w:marRight w:val="0"/>
                  <w:marTop w:val="0"/>
                  <w:marBottom w:val="0"/>
                  <w:divBdr>
                    <w:top w:val="none" w:sz="0" w:space="0" w:color="auto"/>
                    <w:left w:val="none" w:sz="0" w:space="0" w:color="auto"/>
                    <w:bottom w:val="none" w:sz="0" w:space="0" w:color="auto"/>
                    <w:right w:val="none" w:sz="0" w:space="0" w:color="auto"/>
                  </w:divBdr>
                  <w:divsChild>
                    <w:div w:id="439691823">
                      <w:marLeft w:val="0"/>
                      <w:marRight w:val="0"/>
                      <w:marTop w:val="0"/>
                      <w:marBottom w:val="0"/>
                      <w:divBdr>
                        <w:top w:val="none" w:sz="0" w:space="0" w:color="auto"/>
                        <w:left w:val="none" w:sz="0" w:space="0" w:color="auto"/>
                        <w:bottom w:val="none" w:sz="0" w:space="0" w:color="auto"/>
                        <w:right w:val="none" w:sz="0" w:space="0" w:color="auto"/>
                      </w:divBdr>
                      <w:divsChild>
                        <w:div w:id="2009628311">
                          <w:marLeft w:val="0"/>
                          <w:marRight w:val="0"/>
                          <w:marTop w:val="0"/>
                          <w:marBottom w:val="0"/>
                          <w:divBdr>
                            <w:top w:val="none" w:sz="0" w:space="0" w:color="auto"/>
                            <w:left w:val="none" w:sz="0" w:space="0" w:color="auto"/>
                            <w:bottom w:val="none" w:sz="0" w:space="0" w:color="auto"/>
                            <w:right w:val="none" w:sz="0" w:space="0" w:color="auto"/>
                          </w:divBdr>
                          <w:divsChild>
                            <w:div w:id="1736508423">
                              <w:marLeft w:val="0"/>
                              <w:marRight w:val="0"/>
                              <w:marTop w:val="0"/>
                              <w:marBottom w:val="0"/>
                              <w:divBdr>
                                <w:top w:val="none" w:sz="0" w:space="0" w:color="auto"/>
                                <w:left w:val="none" w:sz="0" w:space="0" w:color="auto"/>
                                <w:bottom w:val="none" w:sz="0" w:space="0" w:color="auto"/>
                                <w:right w:val="none" w:sz="0" w:space="0" w:color="auto"/>
                              </w:divBdr>
                              <w:divsChild>
                                <w:div w:id="770515536">
                                  <w:marLeft w:val="0"/>
                                  <w:marRight w:val="0"/>
                                  <w:marTop w:val="0"/>
                                  <w:marBottom w:val="0"/>
                                  <w:divBdr>
                                    <w:top w:val="none" w:sz="0" w:space="0" w:color="auto"/>
                                    <w:left w:val="none" w:sz="0" w:space="0" w:color="auto"/>
                                    <w:bottom w:val="none" w:sz="0" w:space="0" w:color="auto"/>
                                    <w:right w:val="none" w:sz="0" w:space="0" w:color="auto"/>
                                  </w:divBdr>
                                  <w:divsChild>
                                    <w:div w:id="153519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442862">
      <w:bodyDiv w:val="1"/>
      <w:marLeft w:val="0"/>
      <w:marRight w:val="0"/>
      <w:marTop w:val="0"/>
      <w:marBottom w:val="0"/>
      <w:divBdr>
        <w:top w:val="none" w:sz="0" w:space="0" w:color="auto"/>
        <w:left w:val="none" w:sz="0" w:space="0" w:color="auto"/>
        <w:bottom w:val="none" w:sz="0" w:space="0" w:color="auto"/>
        <w:right w:val="none" w:sz="0" w:space="0" w:color="auto"/>
      </w:divBdr>
      <w:divsChild>
        <w:div w:id="427039323">
          <w:marLeft w:val="0"/>
          <w:marRight w:val="0"/>
          <w:marTop w:val="0"/>
          <w:marBottom w:val="0"/>
          <w:divBdr>
            <w:top w:val="none" w:sz="0" w:space="0" w:color="auto"/>
            <w:left w:val="none" w:sz="0" w:space="0" w:color="auto"/>
            <w:bottom w:val="none" w:sz="0" w:space="0" w:color="auto"/>
            <w:right w:val="none" w:sz="0" w:space="0" w:color="auto"/>
          </w:divBdr>
          <w:divsChild>
            <w:div w:id="330958656">
              <w:marLeft w:val="0"/>
              <w:marRight w:val="0"/>
              <w:marTop w:val="0"/>
              <w:marBottom w:val="0"/>
              <w:divBdr>
                <w:top w:val="none" w:sz="0" w:space="0" w:color="auto"/>
                <w:left w:val="none" w:sz="0" w:space="0" w:color="auto"/>
                <w:bottom w:val="none" w:sz="0" w:space="0" w:color="auto"/>
                <w:right w:val="none" w:sz="0" w:space="0" w:color="auto"/>
              </w:divBdr>
              <w:divsChild>
                <w:div w:id="506214097">
                  <w:marLeft w:val="0"/>
                  <w:marRight w:val="0"/>
                  <w:marTop w:val="0"/>
                  <w:marBottom w:val="0"/>
                  <w:divBdr>
                    <w:top w:val="none" w:sz="0" w:space="0" w:color="auto"/>
                    <w:left w:val="none" w:sz="0" w:space="0" w:color="auto"/>
                    <w:bottom w:val="none" w:sz="0" w:space="0" w:color="auto"/>
                    <w:right w:val="none" w:sz="0" w:space="0" w:color="auto"/>
                  </w:divBdr>
                  <w:divsChild>
                    <w:div w:id="208490973">
                      <w:marLeft w:val="0"/>
                      <w:marRight w:val="0"/>
                      <w:marTop w:val="0"/>
                      <w:marBottom w:val="0"/>
                      <w:divBdr>
                        <w:top w:val="none" w:sz="0" w:space="0" w:color="auto"/>
                        <w:left w:val="none" w:sz="0" w:space="0" w:color="auto"/>
                        <w:bottom w:val="none" w:sz="0" w:space="0" w:color="auto"/>
                        <w:right w:val="none" w:sz="0" w:space="0" w:color="auto"/>
                      </w:divBdr>
                      <w:divsChild>
                        <w:div w:id="1161432410">
                          <w:marLeft w:val="0"/>
                          <w:marRight w:val="0"/>
                          <w:marTop w:val="0"/>
                          <w:marBottom w:val="0"/>
                          <w:divBdr>
                            <w:top w:val="none" w:sz="0" w:space="0" w:color="auto"/>
                            <w:left w:val="none" w:sz="0" w:space="0" w:color="auto"/>
                            <w:bottom w:val="none" w:sz="0" w:space="0" w:color="auto"/>
                            <w:right w:val="none" w:sz="0" w:space="0" w:color="auto"/>
                          </w:divBdr>
                          <w:divsChild>
                            <w:div w:id="2097093532">
                              <w:marLeft w:val="0"/>
                              <w:marRight w:val="0"/>
                              <w:marTop w:val="0"/>
                              <w:marBottom w:val="0"/>
                              <w:divBdr>
                                <w:top w:val="none" w:sz="0" w:space="0" w:color="auto"/>
                                <w:left w:val="none" w:sz="0" w:space="0" w:color="auto"/>
                                <w:bottom w:val="none" w:sz="0" w:space="0" w:color="auto"/>
                                <w:right w:val="none" w:sz="0" w:space="0" w:color="auto"/>
                              </w:divBdr>
                              <w:divsChild>
                                <w:div w:id="1619142992">
                                  <w:marLeft w:val="0"/>
                                  <w:marRight w:val="0"/>
                                  <w:marTop w:val="0"/>
                                  <w:marBottom w:val="0"/>
                                  <w:divBdr>
                                    <w:top w:val="none" w:sz="0" w:space="0" w:color="auto"/>
                                    <w:left w:val="none" w:sz="0" w:space="0" w:color="auto"/>
                                    <w:bottom w:val="none" w:sz="0" w:space="0" w:color="auto"/>
                                    <w:right w:val="none" w:sz="0" w:space="0" w:color="auto"/>
                                  </w:divBdr>
                                  <w:divsChild>
                                    <w:div w:id="185506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767067">
                          <w:marLeft w:val="0"/>
                          <w:marRight w:val="0"/>
                          <w:marTop w:val="0"/>
                          <w:marBottom w:val="0"/>
                          <w:divBdr>
                            <w:top w:val="none" w:sz="0" w:space="0" w:color="auto"/>
                            <w:left w:val="none" w:sz="0" w:space="0" w:color="auto"/>
                            <w:bottom w:val="none" w:sz="0" w:space="0" w:color="auto"/>
                            <w:right w:val="none" w:sz="0" w:space="0" w:color="auto"/>
                          </w:divBdr>
                          <w:divsChild>
                            <w:div w:id="152839563">
                              <w:marLeft w:val="0"/>
                              <w:marRight w:val="0"/>
                              <w:marTop w:val="0"/>
                              <w:marBottom w:val="0"/>
                              <w:divBdr>
                                <w:top w:val="none" w:sz="0" w:space="0" w:color="auto"/>
                                <w:left w:val="none" w:sz="0" w:space="0" w:color="auto"/>
                                <w:bottom w:val="none" w:sz="0" w:space="0" w:color="auto"/>
                                <w:right w:val="none" w:sz="0" w:space="0" w:color="auto"/>
                              </w:divBdr>
                              <w:divsChild>
                                <w:div w:id="191917491">
                                  <w:marLeft w:val="0"/>
                                  <w:marRight w:val="0"/>
                                  <w:marTop w:val="0"/>
                                  <w:marBottom w:val="0"/>
                                  <w:divBdr>
                                    <w:top w:val="none" w:sz="0" w:space="0" w:color="auto"/>
                                    <w:left w:val="none" w:sz="0" w:space="0" w:color="auto"/>
                                    <w:bottom w:val="none" w:sz="0" w:space="0" w:color="auto"/>
                                    <w:right w:val="none" w:sz="0" w:space="0" w:color="auto"/>
                                  </w:divBdr>
                                  <w:divsChild>
                                    <w:div w:id="130208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699715">
          <w:marLeft w:val="0"/>
          <w:marRight w:val="0"/>
          <w:marTop w:val="0"/>
          <w:marBottom w:val="0"/>
          <w:divBdr>
            <w:top w:val="none" w:sz="0" w:space="0" w:color="auto"/>
            <w:left w:val="none" w:sz="0" w:space="0" w:color="auto"/>
            <w:bottom w:val="none" w:sz="0" w:space="0" w:color="auto"/>
            <w:right w:val="none" w:sz="0" w:space="0" w:color="auto"/>
          </w:divBdr>
          <w:divsChild>
            <w:div w:id="1604150198">
              <w:marLeft w:val="0"/>
              <w:marRight w:val="0"/>
              <w:marTop w:val="0"/>
              <w:marBottom w:val="0"/>
              <w:divBdr>
                <w:top w:val="none" w:sz="0" w:space="0" w:color="auto"/>
                <w:left w:val="none" w:sz="0" w:space="0" w:color="auto"/>
                <w:bottom w:val="none" w:sz="0" w:space="0" w:color="auto"/>
                <w:right w:val="none" w:sz="0" w:space="0" w:color="auto"/>
              </w:divBdr>
              <w:divsChild>
                <w:div w:id="665550042">
                  <w:marLeft w:val="0"/>
                  <w:marRight w:val="0"/>
                  <w:marTop w:val="0"/>
                  <w:marBottom w:val="0"/>
                  <w:divBdr>
                    <w:top w:val="none" w:sz="0" w:space="0" w:color="auto"/>
                    <w:left w:val="none" w:sz="0" w:space="0" w:color="auto"/>
                    <w:bottom w:val="none" w:sz="0" w:space="0" w:color="auto"/>
                    <w:right w:val="none" w:sz="0" w:space="0" w:color="auto"/>
                  </w:divBdr>
                  <w:divsChild>
                    <w:div w:id="26372168">
                      <w:marLeft w:val="0"/>
                      <w:marRight w:val="0"/>
                      <w:marTop w:val="0"/>
                      <w:marBottom w:val="0"/>
                      <w:divBdr>
                        <w:top w:val="none" w:sz="0" w:space="0" w:color="auto"/>
                        <w:left w:val="none" w:sz="0" w:space="0" w:color="auto"/>
                        <w:bottom w:val="none" w:sz="0" w:space="0" w:color="auto"/>
                        <w:right w:val="none" w:sz="0" w:space="0" w:color="auto"/>
                      </w:divBdr>
                      <w:divsChild>
                        <w:div w:id="1919826621">
                          <w:marLeft w:val="0"/>
                          <w:marRight w:val="0"/>
                          <w:marTop w:val="0"/>
                          <w:marBottom w:val="0"/>
                          <w:divBdr>
                            <w:top w:val="none" w:sz="0" w:space="0" w:color="auto"/>
                            <w:left w:val="none" w:sz="0" w:space="0" w:color="auto"/>
                            <w:bottom w:val="none" w:sz="0" w:space="0" w:color="auto"/>
                            <w:right w:val="none" w:sz="0" w:space="0" w:color="auto"/>
                          </w:divBdr>
                          <w:divsChild>
                            <w:div w:id="1944995007">
                              <w:marLeft w:val="0"/>
                              <w:marRight w:val="0"/>
                              <w:marTop w:val="0"/>
                              <w:marBottom w:val="0"/>
                              <w:divBdr>
                                <w:top w:val="none" w:sz="0" w:space="0" w:color="auto"/>
                                <w:left w:val="none" w:sz="0" w:space="0" w:color="auto"/>
                                <w:bottom w:val="none" w:sz="0" w:space="0" w:color="auto"/>
                                <w:right w:val="none" w:sz="0" w:space="0" w:color="auto"/>
                              </w:divBdr>
                              <w:divsChild>
                                <w:div w:id="1228295610">
                                  <w:marLeft w:val="0"/>
                                  <w:marRight w:val="0"/>
                                  <w:marTop w:val="0"/>
                                  <w:marBottom w:val="0"/>
                                  <w:divBdr>
                                    <w:top w:val="none" w:sz="0" w:space="0" w:color="auto"/>
                                    <w:left w:val="none" w:sz="0" w:space="0" w:color="auto"/>
                                    <w:bottom w:val="none" w:sz="0" w:space="0" w:color="auto"/>
                                    <w:right w:val="none" w:sz="0" w:space="0" w:color="auto"/>
                                  </w:divBdr>
                                  <w:divsChild>
                                    <w:div w:id="140121855">
                                      <w:marLeft w:val="0"/>
                                      <w:marRight w:val="0"/>
                                      <w:marTop w:val="0"/>
                                      <w:marBottom w:val="0"/>
                                      <w:divBdr>
                                        <w:top w:val="none" w:sz="0" w:space="0" w:color="auto"/>
                                        <w:left w:val="none" w:sz="0" w:space="0" w:color="auto"/>
                                        <w:bottom w:val="none" w:sz="0" w:space="0" w:color="auto"/>
                                        <w:right w:val="none" w:sz="0" w:space="0" w:color="auto"/>
                                      </w:divBdr>
                                      <w:divsChild>
                                        <w:div w:id="6974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733869">
          <w:marLeft w:val="0"/>
          <w:marRight w:val="0"/>
          <w:marTop w:val="0"/>
          <w:marBottom w:val="0"/>
          <w:divBdr>
            <w:top w:val="none" w:sz="0" w:space="0" w:color="auto"/>
            <w:left w:val="none" w:sz="0" w:space="0" w:color="auto"/>
            <w:bottom w:val="none" w:sz="0" w:space="0" w:color="auto"/>
            <w:right w:val="none" w:sz="0" w:space="0" w:color="auto"/>
          </w:divBdr>
          <w:divsChild>
            <w:div w:id="237449288">
              <w:marLeft w:val="0"/>
              <w:marRight w:val="0"/>
              <w:marTop w:val="0"/>
              <w:marBottom w:val="0"/>
              <w:divBdr>
                <w:top w:val="none" w:sz="0" w:space="0" w:color="auto"/>
                <w:left w:val="none" w:sz="0" w:space="0" w:color="auto"/>
                <w:bottom w:val="none" w:sz="0" w:space="0" w:color="auto"/>
                <w:right w:val="none" w:sz="0" w:space="0" w:color="auto"/>
              </w:divBdr>
              <w:divsChild>
                <w:div w:id="464784922">
                  <w:marLeft w:val="0"/>
                  <w:marRight w:val="0"/>
                  <w:marTop w:val="0"/>
                  <w:marBottom w:val="0"/>
                  <w:divBdr>
                    <w:top w:val="none" w:sz="0" w:space="0" w:color="auto"/>
                    <w:left w:val="none" w:sz="0" w:space="0" w:color="auto"/>
                    <w:bottom w:val="none" w:sz="0" w:space="0" w:color="auto"/>
                    <w:right w:val="none" w:sz="0" w:space="0" w:color="auto"/>
                  </w:divBdr>
                  <w:divsChild>
                    <w:div w:id="1914003483">
                      <w:marLeft w:val="0"/>
                      <w:marRight w:val="0"/>
                      <w:marTop w:val="0"/>
                      <w:marBottom w:val="0"/>
                      <w:divBdr>
                        <w:top w:val="none" w:sz="0" w:space="0" w:color="auto"/>
                        <w:left w:val="none" w:sz="0" w:space="0" w:color="auto"/>
                        <w:bottom w:val="none" w:sz="0" w:space="0" w:color="auto"/>
                        <w:right w:val="none" w:sz="0" w:space="0" w:color="auto"/>
                      </w:divBdr>
                      <w:divsChild>
                        <w:div w:id="333462598">
                          <w:marLeft w:val="0"/>
                          <w:marRight w:val="0"/>
                          <w:marTop w:val="0"/>
                          <w:marBottom w:val="0"/>
                          <w:divBdr>
                            <w:top w:val="none" w:sz="0" w:space="0" w:color="auto"/>
                            <w:left w:val="none" w:sz="0" w:space="0" w:color="auto"/>
                            <w:bottom w:val="none" w:sz="0" w:space="0" w:color="auto"/>
                            <w:right w:val="none" w:sz="0" w:space="0" w:color="auto"/>
                          </w:divBdr>
                          <w:divsChild>
                            <w:div w:id="2021275185">
                              <w:marLeft w:val="0"/>
                              <w:marRight w:val="0"/>
                              <w:marTop w:val="0"/>
                              <w:marBottom w:val="0"/>
                              <w:divBdr>
                                <w:top w:val="none" w:sz="0" w:space="0" w:color="auto"/>
                                <w:left w:val="none" w:sz="0" w:space="0" w:color="auto"/>
                                <w:bottom w:val="none" w:sz="0" w:space="0" w:color="auto"/>
                                <w:right w:val="none" w:sz="0" w:space="0" w:color="auto"/>
                              </w:divBdr>
                              <w:divsChild>
                                <w:div w:id="1575167335">
                                  <w:marLeft w:val="0"/>
                                  <w:marRight w:val="0"/>
                                  <w:marTop w:val="0"/>
                                  <w:marBottom w:val="0"/>
                                  <w:divBdr>
                                    <w:top w:val="none" w:sz="0" w:space="0" w:color="auto"/>
                                    <w:left w:val="none" w:sz="0" w:space="0" w:color="auto"/>
                                    <w:bottom w:val="none" w:sz="0" w:space="0" w:color="auto"/>
                                    <w:right w:val="none" w:sz="0" w:space="0" w:color="auto"/>
                                  </w:divBdr>
                                  <w:divsChild>
                                    <w:div w:id="19918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86/s13023-020-01474-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1132</Words>
  <Characters>7499</Characters>
  <Application>Microsoft Office Word</Application>
  <DocSecurity>0</DocSecurity>
  <Lines>147</Lines>
  <Paragraphs>76</Paragraphs>
  <ScaleCrop>false</ScaleCrop>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Frost</dc:creator>
  <cp:keywords/>
  <dc:description/>
  <cp:lastModifiedBy>Simon Frost</cp:lastModifiedBy>
  <cp:revision>4</cp:revision>
  <dcterms:created xsi:type="dcterms:W3CDTF">2025-02-21T13:26:00Z</dcterms:created>
  <dcterms:modified xsi:type="dcterms:W3CDTF">2025-02-21T13:31:00Z</dcterms:modified>
</cp:coreProperties>
</file>